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AF519" w14:textId="77777777" w:rsidR="007B76F7" w:rsidRDefault="00A3762D">
      <w:pPr>
        <w:spacing w:after="152" w:line="259" w:lineRule="auto"/>
        <w:ind w:left="14" w:firstLine="0"/>
      </w:pPr>
      <w:r>
        <w:t xml:space="preserve"> </w:t>
      </w:r>
    </w:p>
    <w:p w14:paraId="5189B3B2" w14:textId="77777777" w:rsidR="007B76F7" w:rsidRDefault="00A3762D">
      <w:pPr>
        <w:spacing w:after="0" w:line="259" w:lineRule="auto"/>
        <w:ind w:left="0" w:right="631" w:firstLine="0"/>
        <w:jc w:val="center"/>
      </w:pPr>
      <w:r>
        <w:rPr>
          <w:noProof/>
        </w:rPr>
        <w:drawing>
          <wp:inline distT="0" distB="0" distL="0" distR="0" wp14:anchorId="12F6E000" wp14:editId="23FC1F8B">
            <wp:extent cx="1383792" cy="1383792"/>
            <wp:effectExtent l="0" t="0" r="0" b="0"/>
            <wp:docPr id="7017" name="Picture 7017"/>
            <wp:cNvGraphicFramePr/>
            <a:graphic xmlns:a="http://schemas.openxmlformats.org/drawingml/2006/main">
              <a:graphicData uri="http://schemas.openxmlformats.org/drawingml/2006/picture">
                <pic:pic xmlns:pic="http://schemas.openxmlformats.org/drawingml/2006/picture">
                  <pic:nvPicPr>
                    <pic:cNvPr id="7017" name="Picture 7017"/>
                    <pic:cNvPicPr/>
                  </pic:nvPicPr>
                  <pic:blipFill>
                    <a:blip r:embed="rId7"/>
                    <a:stretch>
                      <a:fillRect/>
                    </a:stretch>
                  </pic:blipFill>
                  <pic:spPr>
                    <a:xfrm>
                      <a:off x="0" y="0"/>
                      <a:ext cx="1383792" cy="1383792"/>
                    </a:xfrm>
                    <a:prstGeom prst="rect">
                      <a:avLst/>
                    </a:prstGeom>
                  </pic:spPr>
                </pic:pic>
              </a:graphicData>
            </a:graphic>
          </wp:inline>
        </w:drawing>
      </w:r>
      <w:r>
        <w:rPr>
          <w:b/>
        </w:rPr>
        <w:t xml:space="preserve">  </w:t>
      </w:r>
      <w:r>
        <w:t xml:space="preserve"> </w:t>
      </w:r>
    </w:p>
    <w:p w14:paraId="2ABF97FF" w14:textId="77777777" w:rsidR="007B76F7" w:rsidRDefault="00A3762D">
      <w:pPr>
        <w:spacing w:after="0" w:line="259" w:lineRule="auto"/>
        <w:ind w:left="198" w:firstLine="0"/>
        <w:jc w:val="center"/>
      </w:pPr>
      <w:r>
        <w:rPr>
          <w:b/>
        </w:rPr>
        <w:t xml:space="preserve"> </w:t>
      </w:r>
      <w:r>
        <w:t xml:space="preserve"> </w:t>
      </w:r>
    </w:p>
    <w:p w14:paraId="1336CD6F" w14:textId="77777777" w:rsidR="007B76F7" w:rsidRDefault="00A3762D">
      <w:pPr>
        <w:spacing w:after="0" w:line="259" w:lineRule="auto"/>
        <w:ind w:left="198" w:firstLine="0"/>
        <w:jc w:val="center"/>
      </w:pPr>
      <w:r>
        <w:rPr>
          <w:b/>
        </w:rPr>
        <w:t xml:space="preserve"> </w:t>
      </w:r>
      <w:r>
        <w:t xml:space="preserve"> </w:t>
      </w:r>
    </w:p>
    <w:p w14:paraId="3873CCDA" w14:textId="77777777" w:rsidR="007B76F7" w:rsidRDefault="00A3762D">
      <w:pPr>
        <w:spacing w:after="2" w:line="259" w:lineRule="auto"/>
        <w:ind w:left="198" w:firstLine="0"/>
        <w:jc w:val="center"/>
      </w:pPr>
      <w:r>
        <w:rPr>
          <w:b/>
        </w:rPr>
        <w:t xml:space="preserve"> </w:t>
      </w:r>
      <w:r>
        <w:t xml:space="preserve"> </w:t>
      </w:r>
    </w:p>
    <w:p w14:paraId="4D86A382" w14:textId="77777777" w:rsidR="007B76F7" w:rsidRDefault="00A3762D">
      <w:pPr>
        <w:spacing w:after="357" w:line="259" w:lineRule="auto"/>
        <w:ind w:left="198" w:firstLine="0"/>
        <w:jc w:val="center"/>
      </w:pPr>
      <w:r>
        <w:rPr>
          <w:b/>
        </w:rPr>
        <w:t xml:space="preserve"> </w:t>
      </w:r>
      <w:r>
        <w:t xml:space="preserve"> </w:t>
      </w:r>
    </w:p>
    <w:p w14:paraId="413B83AD" w14:textId="77777777" w:rsidR="007B76F7" w:rsidRDefault="00A3762D">
      <w:pPr>
        <w:spacing w:after="0" w:line="259" w:lineRule="auto"/>
        <w:ind w:left="0" w:right="17" w:firstLine="0"/>
        <w:jc w:val="center"/>
      </w:pPr>
      <w:r>
        <w:rPr>
          <w:b/>
          <w:sz w:val="44"/>
        </w:rPr>
        <w:t>FOOD AND DRUGS AUTHORITY</w:t>
      </w:r>
      <w:r>
        <w:rPr>
          <w:sz w:val="44"/>
        </w:rPr>
        <w:t xml:space="preserve"> </w:t>
      </w:r>
      <w:r>
        <w:t xml:space="preserve"> </w:t>
      </w:r>
    </w:p>
    <w:p w14:paraId="23374856" w14:textId="77777777" w:rsidR="007B76F7" w:rsidRDefault="00A3762D">
      <w:pPr>
        <w:spacing w:after="0" w:line="259" w:lineRule="auto"/>
        <w:ind w:left="14" w:firstLine="0"/>
      </w:pPr>
      <w:r>
        <w:rPr>
          <w:b/>
        </w:rPr>
        <w:t xml:space="preserve"> </w:t>
      </w:r>
      <w:r>
        <w:t xml:space="preserve"> </w:t>
      </w:r>
    </w:p>
    <w:p w14:paraId="1ADEBF78" w14:textId="77777777" w:rsidR="007B76F7" w:rsidRDefault="00A3762D">
      <w:pPr>
        <w:spacing w:after="132" w:line="259" w:lineRule="auto"/>
        <w:ind w:left="198" w:firstLine="0"/>
        <w:jc w:val="center"/>
      </w:pPr>
      <w:r>
        <w:rPr>
          <w:b/>
        </w:rPr>
        <w:t xml:space="preserve"> </w:t>
      </w:r>
      <w:r>
        <w:t xml:space="preserve"> </w:t>
      </w:r>
    </w:p>
    <w:p w14:paraId="6E642938" w14:textId="77777777" w:rsidR="007B76F7" w:rsidRDefault="00A3762D">
      <w:pPr>
        <w:spacing w:after="0" w:line="259" w:lineRule="auto"/>
        <w:ind w:left="265" w:firstLine="0"/>
        <w:jc w:val="center"/>
      </w:pPr>
      <w:r>
        <w:rPr>
          <w:b/>
          <w:sz w:val="36"/>
        </w:rPr>
        <w:t xml:space="preserve"> </w:t>
      </w:r>
      <w:r>
        <w:t xml:space="preserve"> </w:t>
      </w:r>
    </w:p>
    <w:p w14:paraId="138E4641" w14:textId="77777777" w:rsidR="007B76F7" w:rsidRDefault="00A3762D">
      <w:pPr>
        <w:spacing w:after="0" w:line="259" w:lineRule="auto"/>
        <w:ind w:left="265" w:firstLine="0"/>
        <w:jc w:val="center"/>
      </w:pPr>
      <w:r>
        <w:rPr>
          <w:b/>
          <w:sz w:val="36"/>
        </w:rPr>
        <w:t xml:space="preserve"> </w:t>
      </w:r>
      <w:r>
        <w:t xml:space="preserve"> </w:t>
      </w:r>
    </w:p>
    <w:p w14:paraId="5429D74C" w14:textId="77777777" w:rsidR="007B76F7" w:rsidRDefault="00A3762D">
      <w:pPr>
        <w:spacing w:after="0" w:line="259" w:lineRule="auto"/>
        <w:ind w:left="265" w:firstLine="0"/>
        <w:jc w:val="center"/>
      </w:pPr>
      <w:r>
        <w:rPr>
          <w:b/>
          <w:sz w:val="36"/>
        </w:rPr>
        <w:t xml:space="preserve"> </w:t>
      </w:r>
      <w:r>
        <w:t xml:space="preserve"> </w:t>
      </w:r>
    </w:p>
    <w:p w14:paraId="6435547A" w14:textId="77777777" w:rsidR="007B76F7" w:rsidRDefault="00A3762D">
      <w:pPr>
        <w:spacing w:after="0" w:line="259" w:lineRule="auto"/>
        <w:ind w:left="0" w:right="7" w:firstLine="0"/>
        <w:jc w:val="center"/>
      </w:pPr>
      <w:r>
        <w:rPr>
          <w:b/>
          <w:sz w:val="36"/>
        </w:rPr>
        <w:t xml:space="preserve">GUIDELINE FOR DONATION OF DRUGS </w:t>
      </w:r>
      <w:r>
        <w:rPr>
          <w:sz w:val="36"/>
          <w:vertAlign w:val="subscript"/>
        </w:rPr>
        <w:t xml:space="preserve"> </w:t>
      </w:r>
    </w:p>
    <w:p w14:paraId="6CF6AC4D" w14:textId="77777777" w:rsidR="007B76F7" w:rsidRDefault="00A3762D">
      <w:pPr>
        <w:spacing w:after="0" w:line="259" w:lineRule="auto"/>
        <w:ind w:left="265" w:firstLine="0"/>
        <w:jc w:val="center"/>
      </w:pPr>
      <w:r>
        <w:rPr>
          <w:sz w:val="36"/>
        </w:rPr>
        <w:t xml:space="preserve"> </w:t>
      </w:r>
      <w:r>
        <w:t xml:space="preserve"> </w:t>
      </w:r>
    </w:p>
    <w:p w14:paraId="4E3CF9F6" w14:textId="77777777" w:rsidR="007B76F7" w:rsidRDefault="00A3762D">
      <w:pPr>
        <w:spacing w:after="0" w:line="259" w:lineRule="auto"/>
        <w:ind w:left="198" w:firstLine="0"/>
        <w:jc w:val="center"/>
      </w:pPr>
      <w:r>
        <w:t xml:space="preserve">  </w:t>
      </w:r>
    </w:p>
    <w:p w14:paraId="144E331A" w14:textId="77777777" w:rsidR="007B76F7" w:rsidRDefault="00A3762D">
      <w:pPr>
        <w:spacing w:after="0" w:line="259" w:lineRule="auto"/>
        <w:ind w:left="198" w:firstLine="0"/>
        <w:jc w:val="center"/>
      </w:pPr>
      <w:r>
        <w:t xml:space="preserve">  </w:t>
      </w:r>
    </w:p>
    <w:p w14:paraId="170B3308" w14:textId="77777777" w:rsidR="007B76F7" w:rsidRDefault="00A3762D">
      <w:pPr>
        <w:spacing w:after="0" w:line="259" w:lineRule="auto"/>
        <w:ind w:left="198" w:firstLine="0"/>
        <w:jc w:val="center"/>
      </w:pPr>
      <w:r>
        <w:t xml:space="preserve">  </w:t>
      </w:r>
    </w:p>
    <w:p w14:paraId="23B1716E" w14:textId="77777777" w:rsidR="007B76F7" w:rsidRDefault="00A3762D">
      <w:pPr>
        <w:spacing w:after="0" w:line="259" w:lineRule="auto"/>
        <w:ind w:left="198" w:firstLine="0"/>
        <w:jc w:val="center"/>
      </w:pPr>
      <w:r>
        <w:t xml:space="preserve">  </w:t>
      </w:r>
    </w:p>
    <w:p w14:paraId="6959534A" w14:textId="77777777" w:rsidR="007B76F7" w:rsidRDefault="00A3762D">
      <w:pPr>
        <w:spacing w:after="0" w:line="259" w:lineRule="auto"/>
        <w:ind w:left="198" w:firstLine="0"/>
        <w:jc w:val="center"/>
      </w:pPr>
      <w:r>
        <w:t xml:space="preserve">  </w:t>
      </w:r>
    </w:p>
    <w:p w14:paraId="22DD1EEB" w14:textId="77777777" w:rsidR="007B76F7" w:rsidRDefault="00A3762D">
      <w:pPr>
        <w:spacing w:after="0" w:line="259" w:lineRule="auto"/>
        <w:ind w:left="198" w:firstLine="0"/>
        <w:jc w:val="center"/>
      </w:pPr>
      <w:r>
        <w:t xml:space="preserve">  </w:t>
      </w:r>
    </w:p>
    <w:p w14:paraId="17F7D977" w14:textId="77777777" w:rsidR="007B76F7" w:rsidRDefault="00A3762D">
      <w:pPr>
        <w:spacing w:after="0" w:line="259" w:lineRule="auto"/>
        <w:ind w:left="198" w:firstLine="0"/>
        <w:jc w:val="center"/>
      </w:pPr>
      <w:r>
        <w:t xml:space="preserve">  </w:t>
      </w:r>
    </w:p>
    <w:p w14:paraId="1A5E77A2" w14:textId="77777777" w:rsidR="007B76F7" w:rsidRDefault="00A3762D">
      <w:pPr>
        <w:spacing w:after="0" w:line="259" w:lineRule="auto"/>
        <w:ind w:left="198" w:firstLine="0"/>
        <w:jc w:val="center"/>
      </w:pPr>
      <w:r>
        <w:t xml:space="preserve">  </w:t>
      </w:r>
    </w:p>
    <w:p w14:paraId="35204DAE" w14:textId="77777777" w:rsidR="007B76F7" w:rsidRDefault="00A3762D">
      <w:pPr>
        <w:spacing w:after="0" w:line="259" w:lineRule="auto"/>
        <w:ind w:left="198" w:firstLine="0"/>
        <w:jc w:val="center"/>
      </w:pPr>
      <w:r>
        <w:t xml:space="preserve">  </w:t>
      </w:r>
    </w:p>
    <w:p w14:paraId="3350DF28" w14:textId="77777777" w:rsidR="007B76F7" w:rsidRDefault="00A3762D">
      <w:pPr>
        <w:spacing w:after="0" w:line="259" w:lineRule="auto"/>
        <w:ind w:left="198" w:firstLine="0"/>
        <w:jc w:val="center"/>
      </w:pPr>
      <w:r>
        <w:t xml:space="preserve">  </w:t>
      </w:r>
    </w:p>
    <w:p w14:paraId="408DDE4B" w14:textId="77777777" w:rsidR="007B76F7" w:rsidRDefault="00A3762D">
      <w:pPr>
        <w:spacing w:after="2" w:line="259" w:lineRule="auto"/>
        <w:ind w:left="198" w:firstLine="0"/>
        <w:jc w:val="center"/>
      </w:pPr>
      <w:r>
        <w:t xml:space="preserve">  </w:t>
      </w:r>
    </w:p>
    <w:p w14:paraId="1D95B824" w14:textId="77777777" w:rsidR="007B76F7" w:rsidRDefault="00A3762D">
      <w:pPr>
        <w:spacing w:after="0" w:line="259" w:lineRule="auto"/>
        <w:ind w:left="198" w:firstLine="0"/>
        <w:jc w:val="center"/>
      </w:pPr>
      <w:r>
        <w:t xml:space="preserve">  </w:t>
      </w:r>
    </w:p>
    <w:p w14:paraId="13C60F34" w14:textId="77777777" w:rsidR="007B76F7" w:rsidRDefault="00A3762D">
      <w:pPr>
        <w:spacing w:after="0" w:line="259" w:lineRule="auto"/>
        <w:ind w:left="198" w:firstLine="0"/>
        <w:jc w:val="center"/>
      </w:pPr>
      <w:r>
        <w:t xml:space="preserve">  </w:t>
      </w:r>
    </w:p>
    <w:p w14:paraId="3041F45D" w14:textId="77777777" w:rsidR="007B76F7" w:rsidRDefault="00A3762D">
      <w:pPr>
        <w:spacing w:after="0" w:line="259" w:lineRule="auto"/>
        <w:ind w:left="198" w:firstLine="0"/>
        <w:jc w:val="center"/>
      </w:pPr>
      <w:r>
        <w:t xml:space="preserve">  </w:t>
      </w:r>
    </w:p>
    <w:p w14:paraId="6D486FA5" w14:textId="77777777" w:rsidR="007B76F7" w:rsidRDefault="00A3762D">
      <w:pPr>
        <w:tabs>
          <w:tab w:val="center" w:pos="2174"/>
          <w:tab w:val="center" w:pos="4642"/>
        </w:tabs>
        <w:spacing w:after="150"/>
        <w:ind w:left="-1" w:firstLine="0"/>
      </w:pPr>
      <w:r>
        <w:rPr>
          <w:b/>
        </w:rPr>
        <w:t>Document No.:</w:t>
      </w:r>
      <w:r>
        <w:t xml:space="preserve">   </w:t>
      </w:r>
      <w:proofErr w:type="gramStart"/>
      <w:r>
        <w:tab/>
        <w:t xml:space="preserve">  </w:t>
      </w:r>
      <w:r>
        <w:tab/>
      </w:r>
      <w:proofErr w:type="gramEnd"/>
      <w:r>
        <w:t xml:space="preserve">FDA/DRI/DER/GL-DOM/2019/13  </w:t>
      </w:r>
    </w:p>
    <w:p w14:paraId="0EF0014F" w14:textId="77777777" w:rsidR="007B76F7" w:rsidRDefault="00A3762D">
      <w:pPr>
        <w:pStyle w:val="Heading3"/>
        <w:spacing w:after="132"/>
        <w:ind w:left="9"/>
      </w:pPr>
      <w:r>
        <w:t>Date of First Adoption:</w:t>
      </w:r>
      <w:r>
        <w:rPr>
          <w:b w:val="0"/>
        </w:rPr>
        <w:t xml:space="preserve">  15</w:t>
      </w:r>
      <w:r>
        <w:rPr>
          <w:b w:val="0"/>
          <w:vertAlign w:val="superscript"/>
        </w:rPr>
        <w:t>th</w:t>
      </w:r>
      <w:r>
        <w:rPr>
          <w:b w:val="0"/>
        </w:rPr>
        <w:t xml:space="preserve"> March, 2019 </w:t>
      </w:r>
      <w:r>
        <w:t>Date of Issue:</w:t>
      </w:r>
      <w:r>
        <w:rPr>
          <w:b w:val="0"/>
        </w:rPr>
        <w:t xml:space="preserve">     </w:t>
      </w:r>
      <w:r>
        <w:rPr>
          <w:b w:val="0"/>
        </w:rPr>
        <w:tab/>
        <w:t>15</w:t>
      </w:r>
      <w:r>
        <w:rPr>
          <w:b w:val="0"/>
          <w:vertAlign w:val="superscript"/>
        </w:rPr>
        <w:t>th</w:t>
      </w:r>
      <w:r>
        <w:rPr>
          <w:b w:val="0"/>
        </w:rPr>
        <w:t xml:space="preserve"> March, 2019 </w:t>
      </w:r>
      <w:r>
        <w:t>Version No.:</w:t>
      </w:r>
      <w:r>
        <w:rPr>
          <w:b w:val="0"/>
        </w:rPr>
        <w:t xml:space="preserve">   </w:t>
      </w:r>
      <w:r>
        <w:rPr>
          <w:b w:val="0"/>
        </w:rPr>
        <w:tab/>
        <w:t xml:space="preserve">   </w:t>
      </w:r>
      <w:r>
        <w:rPr>
          <w:b w:val="0"/>
        </w:rPr>
        <w:tab/>
        <w:t>01</w:t>
      </w:r>
      <w:r>
        <w:t xml:space="preserve">  </w:t>
      </w:r>
      <w:r>
        <w:tab/>
        <w:t xml:space="preserve">  </w:t>
      </w:r>
    </w:p>
    <w:p w14:paraId="286EEAA0" w14:textId="77777777" w:rsidR="007B76F7" w:rsidRDefault="00A3762D">
      <w:pPr>
        <w:spacing w:after="218" w:line="259" w:lineRule="auto"/>
        <w:ind w:left="14" w:firstLine="0"/>
      </w:pPr>
      <w:r>
        <w:rPr>
          <w:b/>
        </w:rPr>
        <w:t xml:space="preserve"> </w:t>
      </w:r>
      <w:r>
        <w:t xml:space="preserve"> </w:t>
      </w:r>
    </w:p>
    <w:p w14:paraId="422BB512" w14:textId="77777777" w:rsidR="007B76F7" w:rsidRDefault="00A3762D">
      <w:pPr>
        <w:spacing w:after="0" w:line="259" w:lineRule="auto"/>
        <w:ind w:left="198" w:firstLine="0"/>
        <w:jc w:val="center"/>
      </w:pPr>
      <w:r>
        <w:t xml:space="preserve">  </w:t>
      </w:r>
    </w:p>
    <w:p w14:paraId="21CE4F2E" w14:textId="77777777" w:rsidR="007B76F7" w:rsidRDefault="00A3762D">
      <w:pPr>
        <w:spacing w:after="602" w:line="265" w:lineRule="auto"/>
        <w:ind w:right="-15"/>
        <w:jc w:val="right"/>
      </w:pPr>
      <w:r>
        <w:lastRenderedPageBreak/>
        <w:t>FDA/DRI/DER/GL-DOM/2019/13</w:t>
      </w:r>
      <w:r>
        <w:rPr>
          <w:rFonts w:ascii="Calibri" w:eastAsia="Calibri" w:hAnsi="Calibri" w:cs="Calibri"/>
          <w:sz w:val="22"/>
        </w:rPr>
        <w:t xml:space="preserve"> </w:t>
      </w:r>
      <w:r>
        <w:t xml:space="preserve"> </w:t>
      </w:r>
    </w:p>
    <w:p w14:paraId="02C050CF" w14:textId="77777777" w:rsidR="007B76F7" w:rsidRDefault="00A3762D">
      <w:pPr>
        <w:spacing w:after="0" w:line="259" w:lineRule="auto"/>
        <w:ind w:left="14" w:firstLine="0"/>
      </w:pPr>
      <w:r>
        <w:t xml:space="preserve"> </w:t>
      </w:r>
    </w:p>
    <w:p w14:paraId="26E8D869" w14:textId="77777777" w:rsidR="007B76F7" w:rsidRDefault="00A3762D">
      <w:pPr>
        <w:spacing w:after="160" w:line="259" w:lineRule="auto"/>
        <w:ind w:left="14" w:firstLine="0"/>
      </w:pPr>
      <w:r>
        <w:t xml:space="preserve"> </w:t>
      </w:r>
    </w:p>
    <w:p w14:paraId="4DC30B5D" w14:textId="77777777" w:rsidR="007B76F7" w:rsidRDefault="00A3762D">
      <w:pPr>
        <w:spacing w:after="0" w:line="259" w:lineRule="auto"/>
        <w:ind w:left="198" w:firstLine="0"/>
        <w:jc w:val="center"/>
      </w:pPr>
      <w:r>
        <w:t xml:space="preserve">  </w:t>
      </w:r>
    </w:p>
    <w:p w14:paraId="4E97C9BF" w14:textId="77777777" w:rsidR="007B76F7" w:rsidRDefault="00A3762D">
      <w:pPr>
        <w:spacing w:after="259" w:line="259" w:lineRule="auto"/>
        <w:ind w:left="198" w:firstLine="0"/>
        <w:jc w:val="center"/>
      </w:pPr>
      <w:r>
        <w:t xml:space="preserve">  </w:t>
      </w:r>
    </w:p>
    <w:p w14:paraId="302391DC" w14:textId="77777777" w:rsidR="007B76F7" w:rsidRDefault="00A3762D">
      <w:pPr>
        <w:spacing w:after="300" w:line="259" w:lineRule="auto"/>
        <w:ind w:left="14" w:firstLine="0"/>
      </w:pPr>
      <w:r>
        <w:rPr>
          <w:u w:val="single" w:color="000000"/>
        </w:rPr>
        <w:t>ACKNOWLEDGEMENT</w:t>
      </w:r>
      <w:r>
        <w:t xml:space="preserve">  </w:t>
      </w:r>
    </w:p>
    <w:p w14:paraId="5F9F66DB" w14:textId="77777777" w:rsidR="007B76F7" w:rsidRDefault="00A3762D">
      <w:pPr>
        <w:spacing w:after="287"/>
        <w:ind w:left="9" w:right="2"/>
      </w:pPr>
      <w:r>
        <w:t xml:space="preserve">The Food and Drugs Authority (FDA) acknowledges the Ministry of Health, Ghana in the development of this guideline.  </w:t>
      </w:r>
    </w:p>
    <w:p w14:paraId="0139D9C5" w14:textId="77777777" w:rsidR="007B76F7" w:rsidRDefault="00A3762D">
      <w:pPr>
        <w:spacing w:after="300" w:line="259" w:lineRule="auto"/>
        <w:ind w:left="14" w:firstLine="0"/>
      </w:pPr>
      <w:r>
        <w:t xml:space="preserve">  </w:t>
      </w:r>
    </w:p>
    <w:p w14:paraId="236417DC" w14:textId="77777777" w:rsidR="007B76F7" w:rsidRDefault="00A3762D">
      <w:pPr>
        <w:spacing w:after="300" w:line="259" w:lineRule="auto"/>
        <w:ind w:left="14" w:firstLine="0"/>
      </w:pPr>
      <w:r>
        <w:t xml:space="preserve">  </w:t>
      </w:r>
    </w:p>
    <w:p w14:paraId="51F41CBA" w14:textId="77777777" w:rsidR="007B76F7" w:rsidRDefault="00A3762D">
      <w:pPr>
        <w:spacing w:after="300" w:line="259" w:lineRule="auto"/>
        <w:ind w:left="14" w:firstLine="0"/>
      </w:pPr>
      <w:r>
        <w:t xml:space="preserve">  </w:t>
      </w:r>
    </w:p>
    <w:p w14:paraId="1CFEEDB1" w14:textId="77777777" w:rsidR="007B76F7" w:rsidRDefault="00A3762D">
      <w:pPr>
        <w:spacing w:after="300" w:line="259" w:lineRule="auto"/>
        <w:ind w:left="14" w:firstLine="0"/>
      </w:pPr>
      <w:r>
        <w:t xml:space="preserve">  </w:t>
      </w:r>
    </w:p>
    <w:p w14:paraId="7AF1607C" w14:textId="77777777" w:rsidR="007B76F7" w:rsidRDefault="00A3762D">
      <w:pPr>
        <w:spacing w:after="300" w:line="259" w:lineRule="auto"/>
        <w:ind w:left="14" w:firstLine="0"/>
      </w:pPr>
      <w:r>
        <w:t xml:space="preserve">  </w:t>
      </w:r>
    </w:p>
    <w:p w14:paraId="190F764D" w14:textId="77777777" w:rsidR="007B76F7" w:rsidRDefault="00A3762D">
      <w:pPr>
        <w:spacing w:after="300" w:line="259" w:lineRule="auto"/>
        <w:ind w:left="14" w:firstLine="0"/>
      </w:pPr>
      <w:r>
        <w:t xml:space="preserve">  </w:t>
      </w:r>
    </w:p>
    <w:p w14:paraId="013A2831" w14:textId="77777777" w:rsidR="007B76F7" w:rsidRDefault="00A3762D">
      <w:pPr>
        <w:spacing w:after="300" w:line="259" w:lineRule="auto"/>
        <w:ind w:left="14" w:firstLine="0"/>
      </w:pPr>
      <w:r>
        <w:t xml:space="preserve">  </w:t>
      </w:r>
    </w:p>
    <w:p w14:paraId="2F248677" w14:textId="77777777" w:rsidR="007B76F7" w:rsidRDefault="00A3762D">
      <w:pPr>
        <w:spacing w:after="300" w:line="259" w:lineRule="auto"/>
        <w:ind w:left="14" w:firstLine="0"/>
      </w:pPr>
      <w:r>
        <w:t xml:space="preserve">  </w:t>
      </w:r>
    </w:p>
    <w:p w14:paraId="27475295" w14:textId="77777777" w:rsidR="007B76F7" w:rsidRDefault="00A3762D">
      <w:pPr>
        <w:spacing w:after="300" w:line="259" w:lineRule="auto"/>
        <w:ind w:left="14" w:firstLine="0"/>
      </w:pPr>
      <w:r>
        <w:t xml:space="preserve">  </w:t>
      </w:r>
    </w:p>
    <w:p w14:paraId="7637EAD1" w14:textId="77777777" w:rsidR="007B76F7" w:rsidRDefault="00A3762D">
      <w:pPr>
        <w:spacing w:after="300" w:line="259" w:lineRule="auto"/>
        <w:ind w:left="14" w:firstLine="0"/>
      </w:pPr>
      <w:r>
        <w:t xml:space="preserve">  </w:t>
      </w:r>
    </w:p>
    <w:p w14:paraId="5A383D76" w14:textId="77777777" w:rsidR="007B76F7" w:rsidRDefault="00A3762D">
      <w:pPr>
        <w:spacing w:after="302" w:line="259" w:lineRule="auto"/>
        <w:ind w:left="14" w:firstLine="0"/>
      </w:pPr>
      <w:r>
        <w:t xml:space="preserve">  </w:t>
      </w:r>
    </w:p>
    <w:p w14:paraId="3A9ABEE5" w14:textId="77777777" w:rsidR="007B76F7" w:rsidRDefault="00A3762D">
      <w:pPr>
        <w:spacing w:after="295" w:line="259" w:lineRule="auto"/>
        <w:ind w:left="14" w:firstLine="0"/>
      </w:pPr>
      <w:r>
        <w:t xml:space="preserve">  </w:t>
      </w:r>
    </w:p>
    <w:p w14:paraId="5D9A27AA" w14:textId="77777777" w:rsidR="007B76F7" w:rsidRDefault="00A3762D">
      <w:pPr>
        <w:spacing w:after="300" w:line="259" w:lineRule="auto"/>
        <w:ind w:left="14" w:firstLine="0"/>
      </w:pPr>
      <w:r>
        <w:t xml:space="preserve">  </w:t>
      </w:r>
    </w:p>
    <w:p w14:paraId="7DF081BE" w14:textId="77777777" w:rsidR="007B76F7" w:rsidRDefault="00A3762D">
      <w:pPr>
        <w:spacing w:after="303" w:line="259" w:lineRule="auto"/>
        <w:ind w:left="14" w:firstLine="0"/>
      </w:pPr>
      <w:r>
        <w:t xml:space="preserve">  </w:t>
      </w:r>
    </w:p>
    <w:p w14:paraId="0EAE3FD3" w14:textId="77777777" w:rsidR="007B76F7" w:rsidRDefault="00A3762D">
      <w:pPr>
        <w:spacing w:after="300" w:line="259" w:lineRule="auto"/>
        <w:ind w:left="14" w:firstLine="0"/>
      </w:pPr>
      <w:r>
        <w:t xml:space="preserve">  </w:t>
      </w:r>
    </w:p>
    <w:p w14:paraId="4DD34769" w14:textId="77777777" w:rsidR="007B76F7" w:rsidRDefault="00A3762D">
      <w:pPr>
        <w:spacing w:after="300" w:line="259" w:lineRule="auto"/>
        <w:ind w:left="14" w:firstLine="0"/>
      </w:pPr>
      <w:r>
        <w:t xml:space="preserve">  </w:t>
      </w:r>
    </w:p>
    <w:p w14:paraId="3D67651B" w14:textId="77777777" w:rsidR="007B76F7" w:rsidRDefault="00A3762D">
      <w:pPr>
        <w:spacing w:after="297" w:line="259" w:lineRule="auto"/>
        <w:ind w:left="14" w:firstLine="0"/>
      </w:pPr>
      <w:r>
        <w:lastRenderedPageBreak/>
        <w:t xml:space="preserve">  </w:t>
      </w:r>
    </w:p>
    <w:p w14:paraId="429E8E1B" w14:textId="77777777" w:rsidR="007B76F7" w:rsidRDefault="00A3762D">
      <w:pPr>
        <w:spacing w:after="350" w:line="259" w:lineRule="auto"/>
        <w:ind w:left="14" w:firstLine="0"/>
      </w:pPr>
      <w:r>
        <w:t xml:space="preserve">  </w:t>
      </w:r>
    </w:p>
    <w:p w14:paraId="57BE7EB8" w14:textId="77777777" w:rsidR="007B76F7" w:rsidRDefault="00A3762D">
      <w:pPr>
        <w:spacing w:after="0" w:line="259" w:lineRule="auto"/>
        <w:ind w:left="0" w:right="34" w:firstLine="0"/>
        <w:jc w:val="center"/>
      </w:pPr>
      <w:proofErr w:type="spellStart"/>
      <w:r>
        <w:rPr>
          <w:rFonts w:ascii="Calibri" w:eastAsia="Calibri" w:hAnsi="Calibri" w:cs="Calibri"/>
          <w:sz w:val="22"/>
        </w:rPr>
        <w:t>i</w:t>
      </w:r>
      <w:proofErr w:type="spellEnd"/>
      <w:r>
        <w:rPr>
          <w:rFonts w:ascii="Calibri" w:eastAsia="Calibri" w:hAnsi="Calibri" w:cs="Calibri"/>
          <w:sz w:val="22"/>
        </w:rPr>
        <w:t xml:space="preserve">  </w:t>
      </w:r>
      <w:r>
        <w:t xml:space="preserve"> </w:t>
      </w:r>
    </w:p>
    <w:p w14:paraId="42103BAD" w14:textId="77777777" w:rsidR="007B76F7" w:rsidRDefault="00A3762D">
      <w:pPr>
        <w:spacing w:after="0" w:line="259" w:lineRule="auto"/>
        <w:ind w:left="14" w:firstLine="0"/>
      </w:pPr>
      <w:r>
        <w:t xml:space="preserve">                                                                                      </w:t>
      </w:r>
    </w:p>
    <w:sdt>
      <w:sdtPr>
        <w:id w:val="1789084810"/>
        <w:docPartObj>
          <w:docPartGallery w:val="Table of Contents"/>
        </w:docPartObj>
      </w:sdtPr>
      <w:sdtEndPr/>
      <w:sdtContent>
        <w:p w14:paraId="03CE25BB" w14:textId="77777777" w:rsidR="007B76F7" w:rsidRDefault="00A3762D">
          <w:pPr>
            <w:spacing w:after="244"/>
            <w:ind w:left="9" w:right="6712"/>
          </w:pPr>
          <w:r>
            <w:t xml:space="preserve">TABLE OF CONTENTS  </w:t>
          </w:r>
          <w:r>
            <w:rPr>
              <w:rFonts w:ascii="Calibri" w:eastAsia="Calibri" w:hAnsi="Calibri" w:cs="Calibri"/>
              <w:sz w:val="22"/>
            </w:rPr>
            <w:t xml:space="preserve"> </w:t>
          </w:r>
          <w:r>
            <w:t xml:space="preserve"> </w:t>
          </w:r>
        </w:p>
        <w:p w14:paraId="168A2E29" w14:textId="77777777" w:rsidR="007B76F7" w:rsidRDefault="00A3762D">
          <w:pPr>
            <w:pStyle w:val="TOC1"/>
            <w:tabs>
              <w:tab w:val="right" w:leader="dot" w:pos="9393"/>
            </w:tabs>
          </w:pPr>
          <w:r>
            <w:fldChar w:fldCharType="begin"/>
          </w:r>
          <w:r>
            <w:instrText xml:space="preserve"> TOC \o "1-2" \h \z \u </w:instrText>
          </w:r>
          <w:r>
            <w:fldChar w:fldCharType="separate"/>
          </w:r>
          <w:hyperlink w:anchor="_Toc7319">
            <w:r>
              <w:rPr>
                <w:rFonts w:ascii="Arial" w:eastAsia="Arial" w:hAnsi="Arial" w:cs="Arial"/>
                <w:b/>
              </w:rPr>
              <w:t>1.</w:t>
            </w:r>
            <w:r>
              <w:t xml:space="preserve">  </w:t>
            </w:r>
            <w:r>
              <w:rPr>
                <w:rFonts w:ascii="Arial" w:eastAsia="Arial" w:hAnsi="Arial" w:cs="Arial"/>
                <w:b/>
              </w:rPr>
              <w:t>INTRODUCTION</w:t>
            </w:r>
            <w:r>
              <w:t xml:space="preserve"> </w:t>
            </w:r>
            <w:r>
              <w:t xml:space="preserve">................................................................................................................................ 1 </w:t>
            </w:r>
            <w:r>
              <w:rPr>
                <w:rFonts w:ascii="Arial" w:eastAsia="Arial" w:hAnsi="Arial" w:cs="Arial"/>
                <w:b/>
              </w:rPr>
              <w:t>2.</w:t>
            </w:r>
            <w:r>
              <w:t xml:space="preserve">  </w:t>
            </w:r>
            <w:r>
              <w:rPr>
                <w:rFonts w:ascii="Arial" w:eastAsia="Arial" w:hAnsi="Arial" w:cs="Arial"/>
                <w:b/>
              </w:rPr>
              <w:t>GLOSSARY</w:t>
            </w:r>
            <w:r>
              <w:t xml:space="preserve"> ................................................................................................................</w:t>
            </w:r>
            <w:r>
              <w:t xml:space="preserve">........................ 1 </w:t>
            </w:r>
            <w:r>
              <w:rPr>
                <w:rFonts w:ascii="Arial" w:eastAsia="Arial" w:hAnsi="Arial" w:cs="Arial"/>
                <w:b/>
              </w:rPr>
              <w:t>3.</w:t>
            </w:r>
            <w:r>
              <w:t xml:space="preserve"> </w:t>
            </w:r>
            <w:r>
              <w:rPr>
                <w:rFonts w:ascii="Arial" w:eastAsia="Arial" w:hAnsi="Arial" w:cs="Arial"/>
                <w:b/>
              </w:rPr>
              <w:t>0 REQUIREMENTS</w:t>
            </w:r>
            <w:r>
              <w:t xml:space="preserve"> ................................................................................</w:t>
            </w:r>
            <w:r>
              <w:rPr>
                <w:b/>
              </w:rPr>
              <w:t>Error! Bookmark not defined.</w:t>
            </w:r>
            <w:r>
              <w:t xml:space="preserve"> </w:t>
            </w:r>
            <w:r>
              <w:rPr>
                <w:rFonts w:ascii="Arial" w:eastAsia="Arial" w:hAnsi="Arial" w:cs="Arial"/>
                <w:b/>
              </w:rPr>
              <w:t>a.</w:t>
            </w:r>
            <w:r>
              <w:t xml:space="preserve"> </w:t>
            </w:r>
            <w:r>
              <w:rPr>
                <w:rFonts w:ascii="Arial" w:eastAsia="Arial" w:hAnsi="Arial" w:cs="Arial"/>
                <w:b/>
              </w:rPr>
              <w:t>General</w:t>
            </w:r>
            <w:r>
              <w:tab/>
            </w:r>
            <w:r>
              <w:fldChar w:fldCharType="begin"/>
            </w:r>
            <w:r>
              <w:instrText>PAGEREF _Toc7319 \h</w:instrText>
            </w:r>
            <w:r>
              <w:fldChar w:fldCharType="separate"/>
            </w:r>
            <w:r>
              <w:t xml:space="preserve">2 </w:t>
            </w:r>
            <w:r>
              <w:fldChar w:fldCharType="end"/>
            </w:r>
          </w:hyperlink>
        </w:p>
        <w:p w14:paraId="4E198959" w14:textId="77777777" w:rsidR="007B76F7" w:rsidRDefault="00A3762D">
          <w:pPr>
            <w:pStyle w:val="TOC2"/>
            <w:tabs>
              <w:tab w:val="right" w:leader="dot" w:pos="9393"/>
            </w:tabs>
          </w:pPr>
          <w:hyperlink w:anchor="_Toc7320">
            <w:r>
              <w:rPr>
                <w:rFonts w:ascii="Arial" w:eastAsia="Arial" w:hAnsi="Arial" w:cs="Arial"/>
                <w:b/>
              </w:rPr>
              <w:t>i.</w:t>
            </w:r>
            <w:r>
              <w:t xml:space="preserve">  </w:t>
            </w:r>
            <w:r>
              <w:rPr>
                <w:rFonts w:ascii="Arial" w:eastAsia="Arial" w:hAnsi="Arial" w:cs="Arial"/>
                <w:b/>
              </w:rPr>
              <w:t>Principles of Good Donation</w:t>
            </w:r>
            <w:r>
              <w:tab/>
            </w:r>
            <w:r>
              <w:fldChar w:fldCharType="begin"/>
            </w:r>
            <w:r>
              <w:instrText>PAGEREF _Toc7320 \h</w:instrText>
            </w:r>
            <w:r>
              <w:fldChar w:fldCharType="separate"/>
            </w:r>
            <w:r>
              <w:t xml:space="preserve">2 </w:t>
            </w:r>
            <w:r>
              <w:fldChar w:fldCharType="end"/>
            </w:r>
          </w:hyperlink>
        </w:p>
        <w:p w14:paraId="44B70CD9" w14:textId="77777777" w:rsidR="007B76F7" w:rsidRDefault="00A3762D">
          <w:pPr>
            <w:pStyle w:val="TOC1"/>
            <w:tabs>
              <w:tab w:val="right" w:leader="dot" w:pos="9393"/>
            </w:tabs>
          </w:pPr>
          <w:hyperlink w:anchor="_Toc7321">
            <w:r>
              <w:rPr>
                <w:rFonts w:ascii="Arial" w:eastAsia="Arial" w:hAnsi="Arial" w:cs="Arial"/>
                <w:b/>
              </w:rPr>
              <w:t>b.</w:t>
            </w:r>
            <w:r>
              <w:t xml:space="preserve">  </w:t>
            </w:r>
            <w:r>
              <w:rPr>
                <w:rFonts w:ascii="Arial" w:eastAsia="Arial" w:hAnsi="Arial" w:cs="Arial"/>
                <w:b/>
              </w:rPr>
              <w:t>General Requirements</w:t>
            </w:r>
            <w:r>
              <w:tab/>
            </w:r>
            <w:r>
              <w:fldChar w:fldCharType="begin"/>
            </w:r>
            <w:r>
              <w:instrText>PAGEREF _Toc7321 \h</w:instrText>
            </w:r>
            <w:r>
              <w:fldChar w:fldCharType="separate"/>
            </w:r>
            <w:r>
              <w:t xml:space="preserve">2 </w:t>
            </w:r>
            <w:r>
              <w:fldChar w:fldCharType="end"/>
            </w:r>
          </w:hyperlink>
        </w:p>
        <w:p w14:paraId="3D74C1CA" w14:textId="77777777" w:rsidR="007B76F7" w:rsidRDefault="00A3762D">
          <w:pPr>
            <w:pStyle w:val="TOC1"/>
            <w:tabs>
              <w:tab w:val="right" w:leader="dot" w:pos="9393"/>
            </w:tabs>
          </w:pPr>
          <w:hyperlink w:anchor="_Toc7322">
            <w:r>
              <w:rPr>
                <w:rFonts w:ascii="Arial" w:eastAsia="Arial" w:hAnsi="Arial" w:cs="Arial"/>
                <w:b/>
              </w:rPr>
              <w:t>c.</w:t>
            </w:r>
            <w:r>
              <w:t xml:space="preserve">  </w:t>
            </w:r>
            <w:r>
              <w:rPr>
                <w:rFonts w:ascii="Arial" w:eastAsia="Arial" w:hAnsi="Arial" w:cs="Arial"/>
                <w:b/>
              </w:rPr>
              <w:t>Specific Requirements</w:t>
            </w:r>
            <w:r>
              <w:tab/>
            </w:r>
            <w:r>
              <w:fldChar w:fldCharType="begin"/>
            </w:r>
            <w:r>
              <w:instrText>PAGEREF _Toc7322 \h</w:instrText>
            </w:r>
            <w:r>
              <w:fldChar w:fldCharType="separate"/>
            </w:r>
            <w:r>
              <w:t xml:space="preserve">3 </w:t>
            </w:r>
            <w:r>
              <w:fldChar w:fldCharType="end"/>
            </w:r>
          </w:hyperlink>
        </w:p>
        <w:p w14:paraId="433B3DDF" w14:textId="77777777" w:rsidR="007B76F7" w:rsidRDefault="00A3762D">
          <w:pPr>
            <w:pStyle w:val="TOC2"/>
            <w:tabs>
              <w:tab w:val="right" w:leader="dot" w:pos="9393"/>
            </w:tabs>
          </w:pPr>
          <w:hyperlink w:anchor="_Toc7323">
            <w:r>
              <w:rPr>
                <w:rFonts w:ascii="Arial" w:eastAsia="Arial" w:hAnsi="Arial" w:cs="Arial"/>
                <w:b/>
              </w:rPr>
              <w:t>i.</w:t>
            </w:r>
            <w:r>
              <w:t xml:space="preserve"> </w:t>
            </w:r>
            <w:r>
              <w:rPr>
                <w:rFonts w:ascii="Arial" w:eastAsia="Arial" w:hAnsi="Arial" w:cs="Arial"/>
                <w:b/>
              </w:rPr>
              <w:t>Registration</w:t>
            </w:r>
            <w:r>
              <w:tab/>
            </w:r>
            <w:r>
              <w:fldChar w:fldCharType="begin"/>
            </w:r>
            <w:r>
              <w:instrText>PAGEREF _Toc7323 \h</w:instrText>
            </w:r>
            <w:r>
              <w:fldChar w:fldCharType="separate"/>
            </w:r>
            <w:r>
              <w:t xml:space="preserve">3 </w:t>
            </w:r>
            <w:r>
              <w:fldChar w:fldCharType="end"/>
            </w:r>
          </w:hyperlink>
        </w:p>
        <w:p w14:paraId="52C16588" w14:textId="77777777" w:rsidR="007B76F7" w:rsidRDefault="00A3762D">
          <w:pPr>
            <w:pStyle w:val="TOC2"/>
            <w:tabs>
              <w:tab w:val="right" w:leader="dot" w:pos="9393"/>
            </w:tabs>
          </w:pPr>
          <w:hyperlink w:anchor="_Toc7324">
            <w:r>
              <w:rPr>
                <w:rFonts w:ascii="Arial" w:eastAsia="Arial" w:hAnsi="Arial" w:cs="Arial"/>
                <w:b/>
              </w:rPr>
              <w:t>ii.</w:t>
            </w:r>
            <w:r>
              <w:t xml:space="preserve"> </w:t>
            </w:r>
            <w:r>
              <w:rPr>
                <w:rFonts w:ascii="Arial" w:eastAsia="Arial" w:hAnsi="Arial" w:cs="Arial"/>
                <w:b/>
              </w:rPr>
              <w:t>Fees</w:t>
            </w:r>
            <w:r>
              <w:tab/>
            </w:r>
            <w:r>
              <w:fldChar w:fldCharType="begin"/>
            </w:r>
            <w:r>
              <w:instrText>PAGEREF _Toc7324 \h</w:instrText>
            </w:r>
            <w:r>
              <w:fldChar w:fldCharType="separate"/>
            </w:r>
            <w:r>
              <w:t xml:space="preserve">4 </w:t>
            </w:r>
            <w:r>
              <w:fldChar w:fldCharType="end"/>
            </w:r>
          </w:hyperlink>
        </w:p>
        <w:p w14:paraId="60610438" w14:textId="77777777" w:rsidR="007B76F7" w:rsidRDefault="00A3762D">
          <w:pPr>
            <w:pStyle w:val="TOC2"/>
            <w:tabs>
              <w:tab w:val="right" w:leader="dot" w:pos="9393"/>
            </w:tabs>
          </w:pPr>
          <w:hyperlink w:anchor="_Toc7325">
            <w:r>
              <w:rPr>
                <w:rFonts w:ascii="Arial" w:eastAsia="Arial" w:hAnsi="Arial" w:cs="Arial"/>
                <w:b/>
              </w:rPr>
              <w:t>iii. Letter</w:t>
            </w:r>
            <w:r>
              <w:tab/>
            </w:r>
            <w:r>
              <w:fldChar w:fldCharType="begin"/>
            </w:r>
            <w:r>
              <w:instrText>PAGEREF _Toc7325 \h</w:instrText>
            </w:r>
            <w:r>
              <w:fldChar w:fldCharType="separate"/>
            </w:r>
            <w:r>
              <w:t xml:space="preserve">4 </w:t>
            </w:r>
            <w:r>
              <w:fldChar w:fldCharType="end"/>
            </w:r>
          </w:hyperlink>
        </w:p>
        <w:p w14:paraId="04EBD52E" w14:textId="77777777" w:rsidR="007B76F7" w:rsidRDefault="00A3762D">
          <w:pPr>
            <w:pStyle w:val="TOC1"/>
            <w:tabs>
              <w:tab w:val="right" w:leader="dot" w:pos="9393"/>
            </w:tabs>
          </w:pPr>
          <w:hyperlink w:anchor="_Toc7326">
            <w:r>
              <w:rPr>
                <w:rFonts w:ascii="Arial" w:eastAsia="Arial" w:hAnsi="Arial" w:cs="Arial"/>
                <w:b/>
              </w:rPr>
              <w:t>4.</w:t>
            </w:r>
            <w:r>
              <w:t xml:space="preserve">  </w:t>
            </w:r>
            <w:r>
              <w:rPr>
                <w:rFonts w:ascii="Arial" w:eastAsia="Arial" w:hAnsi="Arial" w:cs="Arial"/>
                <w:b/>
              </w:rPr>
              <w:t>TIMELINES</w:t>
            </w:r>
            <w:r>
              <w:tab/>
            </w:r>
            <w:r>
              <w:fldChar w:fldCharType="begin"/>
            </w:r>
            <w:r>
              <w:instrText>PAGEREF _Toc7326 \h</w:instrText>
            </w:r>
            <w:r>
              <w:fldChar w:fldCharType="separate"/>
            </w:r>
            <w:r>
              <w:t xml:space="preserve">4 </w:t>
            </w:r>
            <w:r>
              <w:fldChar w:fldCharType="end"/>
            </w:r>
          </w:hyperlink>
        </w:p>
        <w:p w14:paraId="665DEA59" w14:textId="77777777" w:rsidR="007B76F7" w:rsidRDefault="00A3762D">
          <w:pPr>
            <w:pStyle w:val="TOC1"/>
            <w:tabs>
              <w:tab w:val="right" w:leader="dot" w:pos="9393"/>
            </w:tabs>
          </w:pPr>
          <w:hyperlink w:anchor="_Toc7327">
            <w:r>
              <w:rPr>
                <w:rFonts w:ascii="Arial" w:eastAsia="Arial" w:hAnsi="Arial" w:cs="Arial"/>
                <w:b/>
              </w:rPr>
              <w:t>5.</w:t>
            </w:r>
            <w:r>
              <w:t xml:space="preserve">  </w:t>
            </w:r>
            <w:r>
              <w:rPr>
                <w:rFonts w:ascii="Arial" w:eastAsia="Arial" w:hAnsi="Arial" w:cs="Arial"/>
                <w:b/>
              </w:rPr>
              <w:t>PENALTIES</w:t>
            </w:r>
            <w:r>
              <w:tab/>
            </w:r>
            <w:r>
              <w:fldChar w:fldCharType="begin"/>
            </w:r>
            <w:r>
              <w:instrText>PAGEREF _Toc7327 \h</w:instrText>
            </w:r>
            <w:r>
              <w:fldChar w:fldCharType="separate"/>
            </w:r>
            <w:r>
              <w:t xml:space="preserve">4 </w:t>
            </w:r>
            <w:r>
              <w:fldChar w:fldCharType="end"/>
            </w:r>
          </w:hyperlink>
        </w:p>
        <w:p w14:paraId="3BF451B7" w14:textId="77777777" w:rsidR="007B76F7" w:rsidRDefault="00A3762D">
          <w:r>
            <w:fldChar w:fldCharType="end"/>
          </w:r>
        </w:p>
      </w:sdtContent>
    </w:sdt>
    <w:p w14:paraId="26EFBD36" w14:textId="73B814C8" w:rsidR="007B76F7" w:rsidRDefault="007B76F7">
      <w:pPr>
        <w:spacing w:after="341" w:line="267" w:lineRule="auto"/>
        <w:ind w:left="24" w:right="3"/>
        <w:jc w:val="both"/>
        <w:rPr>
          <w:rFonts w:ascii="Calibri" w:eastAsia="Calibri" w:hAnsi="Calibri" w:cs="Calibri"/>
          <w:b/>
          <w:sz w:val="22"/>
        </w:rPr>
      </w:pPr>
    </w:p>
    <w:p w14:paraId="78024074" w14:textId="096FA665" w:rsidR="00422A11" w:rsidRDefault="00422A11">
      <w:pPr>
        <w:spacing w:after="341" w:line="267" w:lineRule="auto"/>
        <w:ind w:left="24" w:right="3"/>
        <w:jc w:val="both"/>
        <w:rPr>
          <w:rFonts w:ascii="Calibri" w:eastAsia="Calibri" w:hAnsi="Calibri" w:cs="Calibri"/>
          <w:b/>
          <w:sz w:val="22"/>
        </w:rPr>
      </w:pPr>
    </w:p>
    <w:p w14:paraId="1B4F14BC" w14:textId="43DB31EF" w:rsidR="00422A11" w:rsidRDefault="00422A11">
      <w:pPr>
        <w:spacing w:after="341" w:line="267" w:lineRule="auto"/>
        <w:ind w:left="24" w:right="3"/>
        <w:jc w:val="both"/>
        <w:rPr>
          <w:rFonts w:ascii="Calibri" w:eastAsia="Calibri" w:hAnsi="Calibri" w:cs="Calibri"/>
          <w:b/>
          <w:sz w:val="22"/>
        </w:rPr>
      </w:pPr>
    </w:p>
    <w:p w14:paraId="4B177C29" w14:textId="5F02FEAB" w:rsidR="00422A11" w:rsidRDefault="00422A11">
      <w:pPr>
        <w:spacing w:after="341" w:line="267" w:lineRule="auto"/>
        <w:ind w:left="24" w:right="3"/>
        <w:jc w:val="both"/>
        <w:rPr>
          <w:rFonts w:ascii="Calibri" w:eastAsia="Calibri" w:hAnsi="Calibri" w:cs="Calibri"/>
          <w:b/>
          <w:sz w:val="22"/>
        </w:rPr>
      </w:pPr>
    </w:p>
    <w:p w14:paraId="10F0D4CB" w14:textId="02202E17" w:rsidR="00422A11" w:rsidRDefault="00422A11">
      <w:pPr>
        <w:spacing w:after="341" w:line="267" w:lineRule="auto"/>
        <w:ind w:left="24" w:right="3"/>
        <w:jc w:val="both"/>
        <w:rPr>
          <w:rFonts w:ascii="Calibri" w:eastAsia="Calibri" w:hAnsi="Calibri" w:cs="Calibri"/>
          <w:b/>
          <w:sz w:val="22"/>
        </w:rPr>
      </w:pPr>
    </w:p>
    <w:p w14:paraId="2794E0A1" w14:textId="157A43C7" w:rsidR="00422A11" w:rsidRDefault="00422A11">
      <w:pPr>
        <w:spacing w:after="341" w:line="267" w:lineRule="auto"/>
        <w:ind w:left="24" w:right="3"/>
        <w:jc w:val="both"/>
        <w:rPr>
          <w:rFonts w:ascii="Calibri" w:eastAsia="Calibri" w:hAnsi="Calibri" w:cs="Calibri"/>
          <w:b/>
          <w:sz w:val="22"/>
        </w:rPr>
      </w:pPr>
    </w:p>
    <w:p w14:paraId="0E86F81F" w14:textId="6AE97408" w:rsidR="00422A11" w:rsidRDefault="00422A11">
      <w:pPr>
        <w:spacing w:after="341" w:line="267" w:lineRule="auto"/>
        <w:ind w:left="24" w:right="3"/>
        <w:jc w:val="both"/>
        <w:rPr>
          <w:rFonts w:ascii="Calibri" w:eastAsia="Calibri" w:hAnsi="Calibri" w:cs="Calibri"/>
          <w:b/>
          <w:sz w:val="22"/>
        </w:rPr>
      </w:pPr>
    </w:p>
    <w:p w14:paraId="19154EA5" w14:textId="6176CD9B" w:rsidR="00422A11" w:rsidRDefault="00422A11">
      <w:pPr>
        <w:spacing w:after="341" w:line="267" w:lineRule="auto"/>
        <w:ind w:left="24" w:right="3"/>
        <w:jc w:val="both"/>
        <w:rPr>
          <w:rFonts w:ascii="Calibri" w:eastAsia="Calibri" w:hAnsi="Calibri" w:cs="Calibri"/>
          <w:b/>
          <w:sz w:val="22"/>
        </w:rPr>
      </w:pPr>
    </w:p>
    <w:p w14:paraId="43DEFE57" w14:textId="77777777" w:rsidR="00422A11" w:rsidRDefault="00422A11">
      <w:pPr>
        <w:spacing w:after="679" w:line="265" w:lineRule="auto"/>
        <w:ind w:right="-15"/>
        <w:jc w:val="right"/>
      </w:pPr>
    </w:p>
    <w:p w14:paraId="563A9164" w14:textId="2B3C503D" w:rsidR="007B76F7" w:rsidRDefault="00A3762D">
      <w:pPr>
        <w:spacing w:after="679" w:line="265" w:lineRule="auto"/>
        <w:ind w:right="-15"/>
        <w:jc w:val="right"/>
      </w:pPr>
      <w:r>
        <w:lastRenderedPageBreak/>
        <w:t>FDA/DRI/DER/GL-DOM/2019/13</w:t>
      </w:r>
      <w:r>
        <w:rPr>
          <w:rFonts w:ascii="Calibri" w:eastAsia="Calibri" w:hAnsi="Calibri" w:cs="Calibri"/>
          <w:sz w:val="22"/>
        </w:rPr>
        <w:t xml:space="preserve"> </w:t>
      </w:r>
      <w:r>
        <w:t xml:space="preserve"> </w:t>
      </w:r>
    </w:p>
    <w:p w14:paraId="1FE87BD4" w14:textId="77777777" w:rsidR="007B76F7" w:rsidRDefault="00A3762D">
      <w:pPr>
        <w:pStyle w:val="Heading3"/>
        <w:tabs>
          <w:tab w:val="center" w:pos="1500"/>
        </w:tabs>
        <w:ind w:left="-1" w:firstLine="0"/>
      </w:pPr>
      <w:r>
        <w:t xml:space="preserve">1.  </w:t>
      </w:r>
      <w:r>
        <w:tab/>
      </w:r>
      <w:r>
        <w:t xml:space="preserve">INTRODUCTION  </w:t>
      </w:r>
    </w:p>
    <w:p w14:paraId="34E326F8" w14:textId="77777777" w:rsidR="007B76F7" w:rsidRDefault="00A3762D">
      <w:pPr>
        <w:spacing w:after="19" w:line="259" w:lineRule="auto"/>
        <w:ind w:left="14" w:firstLine="0"/>
      </w:pPr>
      <w:r>
        <w:t xml:space="preserve">  </w:t>
      </w:r>
    </w:p>
    <w:p w14:paraId="095ABF5B" w14:textId="77777777" w:rsidR="007B76F7" w:rsidRDefault="00A3762D">
      <w:pPr>
        <w:ind w:left="9" w:right="2"/>
      </w:pPr>
      <w:r>
        <w:t>Drugs constitute an essential commodity in the delivery of effective health care. The safety, quality and efficacy of drugs are thus of importance in the regulatory framework.  In pursuance of Section 148 of the Public Health Act, 2012, Act 851 these guide</w:t>
      </w:r>
      <w:r>
        <w:t>lines are hereby made for information, guidance and strict compliance by all concerned on the procedure and requirements for the donation of drugs in Ghana. These guidelines are applicable to drugs for use in humans as well as for veterinary use, where app</w:t>
      </w:r>
      <w:r>
        <w:t xml:space="preserve">licable.  </w:t>
      </w:r>
    </w:p>
    <w:p w14:paraId="796BAF91" w14:textId="77777777" w:rsidR="007B76F7" w:rsidRDefault="00A3762D">
      <w:pPr>
        <w:spacing w:after="19" w:line="259" w:lineRule="auto"/>
        <w:ind w:left="14" w:firstLine="0"/>
      </w:pPr>
      <w:r>
        <w:t xml:space="preserve">  </w:t>
      </w:r>
    </w:p>
    <w:p w14:paraId="333B3FA5" w14:textId="77777777" w:rsidR="007B76F7" w:rsidRDefault="00A3762D">
      <w:pPr>
        <w:ind w:left="9" w:right="2"/>
      </w:pPr>
      <w:r>
        <w:t xml:space="preserve">These guidelines must be read and used in conjunction with the enabling legislation, the  </w:t>
      </w:r>
    </w:p>
    <w:p w14:paraId="03055B10" w14:textId="77777777" w:rsidR="007B76F7" w:rsidRDefault="00A3762D">
      <w:pPr>
        <w:ind w:left="9" w:right="2"/>
      </w:pPr>
      <w:r>
        <w:t xml:space="preserve">Public Health Act, 2012, Act 851, Part 7, the current version of the Food and Drugs  </w:t>
      </w:r>
    </w:p>
    <w:p w14:paraId="7F83182D" w14:textId="77777777" w:rsidR="007B76F7" w:rsidRDefault="00A3762D">
      <w:pPr>
        <w:ind w:left="9" w:right="2"/>
      </w:pPr>
      <w:r>
        <w:t>Authority (FDA) Guideline for Registration of Allopathic Drugs, B</w:t>
      </w:r>
      <w:r>
        <w:t xml:space="preserve">iological Products, Vaccines and Veterinary Medicines as well as any other relevant Guidelines and Regulations issued by the FDA.  </w:t>
      </w:r>
    </w:p>
    <w:p w14:paraId="63436C5C" w14:textId="77777777" w:rsidR="007B76F7" w:rsidRDefault="00A3762D">
      <w:pPr>
        <w:spacing w:after="259" w:line="259" w:lineRule="auto"/>
        <w:ind w:left="14" w:firstLine="0"/>
      </w:pPr>
      <w:r>
        <w:t xml:space="preserve">  </w:t>
      </w:r>
    </w:p>
    <w:p w14:paraId="2CA0F97D" w14:textId="77777777" w:rsidR="007B76F7" w:rsidRDefault="00A3762D">
      <w:pPr>
        <w:pStyle w:val="Heading3"/>
        <w:ind w:left="9"/>
      </w:pPr>
      <w:r>
        <w:t xml:space="preserve">2. GLOSSARY  </w:t>
      </w:r>
    </w:p>
    <w:p w14:paraId="368FF1C0" w14:textId="77777777" w:rsidR="007B76F7" w:rsidRDefault="00A3762D">
      <w:pPr>
        <w:spacing w:after="19" w:line="259" w:lineRule="auto"/>
        <w:ind w:left="14" w:firstLine="0"/>
      </w:pPr>
      <w:r>
        <w:t xml:space="preserve">  </w:t>
      </w:r>
    </w:p>
    <w:p w14:paraId="4B3A1536" w14:textId="77777777" w:rsidR="007B76F7" w:rsidRDefault="00A3762D">
      <w:pPr>
        <w:ind w:left="9" w:right="2"/>
      </w:pPr>
      <w:r>
        <w:t>In these Guidelines, unless the context otherwise requires, the following terms have the assigned meanin</w:t>
      </w:r>
      <w:r>
        <w:t xml:space="preserve">gs:  </w:t>
      </w:r>
    </w:p>
    <w:p w14:paraId="0E4C96E1" w14:textId="77777777" w:rsidR="007B76F7" w:rsidRDefault="00A3762D">
      <w:pPr>
        <w:spacing w:after="34" w:line="259" w:lineRule="auto"/>
        <w:ind w:left="14" w:firstLine="0"/>
      </w:pPr>
      <w:r>
        <w:t xml:space="preserve">  </w:t>
      </w:r>
    </w:p>
    <w:p w14:paraId="2B44FC8C" w14:textId="77777777" w:rsidR="007B76F7" w:rsidRDefault="00A3762D">
      <w:pPr>
        <w:numPr>
          <w:ilvl w:val="0"/>
          <w:numId w:val="1"/>
        </w:numPr>
        <w:ind w:right="2" w:hanging="360"/>
      </w:pPr>
      <w:r>
        <w:rPr>
          <w:b/>
        </w:rPr>
        <w:t xml:space="preserve">An Applicant: </w:t>
      </w:r>
      <w:r>
        <w:t>In this context refers to</w:t>
      </w:r>
      <w:r>
        <w:rPr>
          <w:b/>
        </w:rPr>
        <w:t xml:space="preserve"> </w:t>
      </w:r>
      <w:r>
        <w:t xml:space="preserve">a manufacturer, the donor, or by an importer of the drugs. Such an applicant would be responsible for the product and all issues relating to the product, including any information accompanying the product.  </w:t>
      </w:r>
    </w:p>
    <w:p w14:paraId="1099534A" w14:textId="77777777" w:rsidR="007B76F7" w:rsidRDefault="00A3762D">
      <w:pPr>
        <w:spacing w:after="34" w:line="259" w:lineRule="auto"/>
        <w:ind w:left="734" w:firstLine="0"/>
      </w:pPr>
      <w:r>
        <w:t xml:space="preserve">  </w:t>
      </w:r>
    </w:p>
    <w:p w14:paraId="651CFBD9" w14:textId="77777777" w:rsidR="007B76F7" w:rsidRDefault="00A3762D">
      <w:pPr>
        <w:numPr>
          <w:ilvl w:val="0"/>
          <w:numId w:val="1"/>
        </w:numPr>
        <w:ind w:right="2" w:hanging="360"/>
      </w:pPr>
      <w:r>
        <w:rPr>
          <w:b/>
          <w:i/>
        </w:rPr>
        <w:t xml:space="preserve">Authority: </w:t>
      </w:r>
      <w:r>
        <w:t xml:space="preserve">The Food and Drugs Authority, Ghana.  </w:t>
      </w:r>
    </w:p>
    <w:p w14:paraId="23F695FD" w14:textId="77777777" w:rsidR="007B76F7" w:rsidRDefault="00A3762D">
      <w:pPr>
        <w:spacing w:after="70" w:line="259" w:lineRule="auto"/>
        <w:ind w:left="734" w:firstLine="0"/>
      </w:pPr>
      <w:r>
        <w:t xml:space="preserve">  </w:t>
      </w:r>
    </w:p>
    <w:p w14:paraId="45E4E2CD" w14:textId="77777777" w:rsidR="007B76F7" w:rsidRDefault="00A3762D">
      <w:pPr>
        <w:numPr>
          <w:ilvl w:val="0"/>
          <w:numId w:val="1"/>
        </w:numPr>
        <w:ind w:right="2" w:hanging="360"/>
      </w:pPr>
      <w:r>
        <w:t>“</w:t>
      </w:r>
      <w:r>
        <w:rPr>
          <w:b/>
        </w:rPr>
        <w:t>Drug</w:t>
      </w:r>
      <w:r>
        <w:t xml:space="preserve">” means   </w:t>
      </w:r>
    </w:p>
    <w:p w14:paraId="78DDAEC8" w14:textId="77777777" w:rsidR="007B76F7" w:rsidRDefault="00A3762D">
      <w:pPr>
        <w:numPr>
          <w:ilvl w:val="1"/>
          <w:numId w:val="1"/>
        </w:numPr>
        <w:ind w:right="2" w:hanging="360"/>
      </w:pPr>
      <w:r>
        <w:t xml:space="preserve">a substance referred to in a publication mentioned in the Fourth Schedule,   </w:t>
      </w:r>
    </w:p>
    <w:p w14:paraId="6B872677" w14:textId="77777777" w:rsidR="007B76F7" w:rsidRDefault="00A3762D">
      <w:pPr>
        <w:numPr>
          <w:ilvl w:val="1"/>
          <w:numId w:val="1"/>
        </w:numPr>
        <w:ind w:right="2" w:hanging="360"/>
      </w:pPr>
      <w:r>
        <w:t xml:space="preserve">a substance or mixture of substances prepared, sold or represented for use in the:  </w:t>
      </w:r>
    </w:p>
    <w:p w14:paraId="3ADB8E27" w14:textId="77777777" w:rsidR="007B76F7" w:rsidRDefault="00A3762D">
      <w:pPr>
        <w:numPr>
          <w:ilvl w:val="0"/>
          <w:numId w:val="1"/>
        </w:numPr>
        <w:ind w:right="2" w:hanging="360"/>
      </w:pPr>
      <w:r>
        <w:t xml:space="preserve">diagnosis, treatment, mitigation or prevention of disease, disorder of abnormal physical state or the symptoms of it, in man or animal, or   </w:t>
      </w:r>
    </w:p>
    <w:p w14:paraId="13E94FCD" w14:textId="77777777" w:rsidR="007B76F7" w:rsidRDefault="00A3762D">
      <w:pPr>
        <w:numPr>
          <w:ilvl w:val="0"/>
          <w:numId w:val="1"/>
        </w:numPr>
        <w:ind w:right="2" w:hanging="360"/>
      </w:pPr>
      <w:r>
        <w:t>restoring, correcting or modi</w:t>
      </w:r>
      <w:r>
        <w:t xml:space="preserve">fying organic functions in man or animal, and nutritional supplements;  </w:t>
      </w:r>
    </w:p>
    <w:p w14:paraId="78A738F2" w14:textId="77777777" w:rsidR="007B76F7" w:rsidRDefault="00A3762D">
      <w:pPr>
        <w:spacing w:after="37" w:line="259" w:lineRule="auto"/>
        <w:ind w:left="14" w:right="3650" w:firstLine="0"/>
        <w:jc w:val="right"/>
      </w:pPr>
      <w:r>
        <w:t xml:space="preserve">                                                                                        </w:t>
      </w:r>
    </w:p>
    <w:p w14:paraId="42409513" w14:textId="77777777" w:rsidR="007B76F7" w:rsidRDefault="00A3762D">
      <w:pPr>
        <w:numPr>
          <w:ilvl w:val="0"/>
          <w:numId w:val="1"/>
        </w:numPr>
        <w:spacing w:after="23" w:line="265" w:lineRule="auto"/>
        <w:ind w:right="2" w:hanging="360"/>
      </w:pPr>
      <w:r>
        <w:rPr>
          <w:b/>
        </w:rPr>
        <w:t xml:space="preserve">Local Applicant: </w:t>
      </w:r>
      <w:r>
        <w:t xml:space="preserve">An applicant that is resident in Ghana.  </w:t>
      </w:r>
    </w:p>
    <w:p w14:paraId="6862AF04" w14:textId="0806D53A" w:rsidR="007B76F7" w:rsidRDefault="00A3762D" w:rsidP="00422A11">
      <w:pPr>
        <w:spacing w:after="221" w:line="259" w:lineRule="auto"/>
        <w:ind w:left="722" w:firstLine="0"/>
        <w:sectPr w:rsidR="007B76F7" w:rsidSect="00422A11">
          <w:headerReference w:type="even" r:id="rId8"/>
          <w:headerReference w:type="default" r:id="rId9"/>
          <w:footerReference w:type="even" r:id="rId10"/>
          <w:footerReference w:type="default" r:id="rId11"/>
          <w:headerReference w:type="first" r:id="rId12"/>
          <w:footerReference w:type="first" r:id="rId13"/>
          <w:pgSz w:w="12240" w:h="15840"/>
          <w:pgMar w:top="450" w:right="1421" w:bottom="540" w:left="1426" w:header="720" w:footer="720" w:gutter="0"/>
          <w:cols w:space="720"/>
          <w:titlePg/>
        </w:sectPr>
      </w:pPr>
      <w:bookmarkStart w:id="0" w:name="_GoBack"/>
      <w:bookmarkEnd w:id="0"/>
      <w:r>
        <w:t xml:space="preserve">  </w:t>
      </w:r>
      <w:r w:rsidR="00422A11">
        <w:t xml:space="preserve">                                       </w:t>
      </w:r>
      <w:r>
        <w:rPr>
          <w:rFonts w:ascii="Calibri" w:eastAsia="Calibri" w:hAnsi="Calibri" w:cs="Calibri"/>
          <w:b/>
          <w:sz w:val="22"/>
        </w:rPr>
        <w:t>Page 1 of 4</w:t>
      </w:r>
    </w:p>
    <w:p w14:paraId="2CE110B5" w14:textId="77777777" w:rsidR="007B76F7" w:rsidRDefault="00A3762D">
      <w:pPr>
        <w:spacing w:after="423" w:line="259" w:lineRule="auto"/>
        <w:ind w:left="14" w:firstLine="0"/>
      </w:pPr>
      <w:r>
        <w:lastRenderedPageBreak/>
        <w:t xml:space="preserve">                                                                                      </w:t>
      </w:r>
    </w:p>
    <w:p w14:paraId="514ACAF1" w14:textId="77777777" w:rsidR="007B76F7" w:rsidRDefault="00A3762D">
      <w:pPr>
        <w:numPr>
          <w:ilvl w:val="0"/>
          <w:numId w:val="1"/>
        </w:numPr>
        <w:ind w:right="2" w:hanging="360"/>
      </w:pPr>
      <w:r>
        <w:rPr>
          <w:b/>
        </w:rPr>
        <w:t xml:space="preserve">Local Agent: </w:t>
      </w:r>
      <w:r>
        <w:t xml:space="preserve">A local agent is a person resident in Ghana or a corporate body registered in Ghana, with the relevant mandate from the applicant, to act on the applicant’s behalf as regards matters relating to the donation.  </w:t>
      </w:r>
    </w:p>
    <w:p w14:paraId="3D585B90" w14:textId="77777777" w:rsidR="007B76F7" w:rsidRDefault="00A3762D">
      <w:pPr>
        <w:spacing w:after="38" w:line="259" w:lineRule="auto"/>
        <w:ind w:left="734" w:firstLine="0"/>
      </w:pPr>
      <w:r>
        <w:rPr>
          <w:b/>
        </w:rPr>
        <w:t xml:space="preserve"> </w:t>
      </w:r>
      <w:r>
        <w:t xml:space="preserve"> </w:t>
      </w:r>
    </w:p>
    <w:p w14:paraId="01BD7F41" w14:textId="77777777" w:rsidR="007B76F7" w:rsidRDefault="00A3762D">
      <w:pPr>
        <w:numPr>
          <w:ilvl w:val="0"/>
          <w:numId w:val="1"/>
        </w:numPr>
        <w:ind w:right="2" w:hanging="360"/>
      </w:pPr>
      <w:r>
        <w:rPr>
          <w:b/>
        </w:rPr>
        <w:t>Non-Resident applicant:</w:t>
      </w:r>
      <w:r>
        <w:t xml:space="preserve"> </w:t>
      </w:r>
      <w:r>
        <w:t xml:space="preserve">An applicant applying for permit to donate products to Ghana but not a resident of Ghana.  </w:t>
      </w:r>
    </w:p>
    <w:p w14:paraId="5DC78F38" w14:textId="77777777" w:rsidR="007B76F7" w:rsidRDefault="00A3762D">
      <w:pPr>
        <w:spacing w:after="259" w:line="259" w:lineRule="auto"/>
        <w:ind w:left="734" w:firstLine="0"/>
      </w:pPr>
      <w:r>
        <w:t xml:space="preserve">  </w:t>
      </w:r>
    </w:p>
    <w:p w14:paraId="4BCE306F" w14:textId="77777777" w:rsidR="007B76F7" w:rsidRDefault="00A3762D">
      <w:pPr>
        <w:spacing w:after="21" w:line="259" w:lineRule="auto"/>
        <w:ind w:left="9"/>
      </w:pPr>
      <w:r>
        <w:rPr>
          <w:b/>
        </w:rPr>
        <w:t xml:space="preserve">3. 0 REQUIREMENTS </w:t>
      </w:r>
      <w:r>
        <w:t xml:space="preserve"> </w:t>
      </w:r>
    </w:p>
    <w:p w14:paraId="4025020B" w14:textId="77777777" w:rsidR="007B76F7" w:rsidRDefault="00A3762D">
      <w:pPr>
        <w:spacing w:after="60" w:line="259" w:lineRule="auto"/>
        <w:ind w:left="14" w:firstLine="0"/>
      </w:pPr>
      <w:r>
        <w:t xml:space="preserve">  </w:t>
      </w:r>
    </w:p>
    <w:p w14:paraId="66CC332A" w14:textId="77777777" w:rsidR="007B76F7" w:rsidRDefault="00A3762D">
      <w:pPr>
        <w:spacing w:after="21" w:line="259" w:lineRule="auto"/>
        <w:ind w:left="788"/>
      </w:pPr>
      <w:r>
        <w:rPr>
          <w:b/>
        </w:rPr>
        <w:t xml:space="preserve">a. General  </w:t>
      </w:r>
    </w:p>
    <w:p w14:paraId="42D3C3ED" w14:textId="77777777" w:rsidR="007B76F7" w:rsidRDefault="00A3762D">
      <w:pPr>
        <w:spacing w:after="58" w:line="259" w:lineRule="auto"/>
        <w:ind w:left="14" w:firstLine="0"/>
      </w:pPr>
      <w:r>
        <w:t xml:space="preserve">  </w:t>
      </w:r>
    </w:p>
    <w:p w14:paraId="511023A1" w14:textId="77777777" w:rsidR="007B76F7" w:rsidRDefault="00A3762D">
      <w:pPr>
        <w:pStyle w:val="Heading2"/>
        <w:tabs>
          <w:tab w:val="center" w:pos="2702"/>
        </w:tabs>
        <w:ind w:left="-1" w:firstLine="0"/>
      </w:pPr>
      <w:bookmarkStart w:id="1" w:name="_Toc7320"/>
      <w:r>
        <w:rPr>
          <w:rFonts w:ascii="Calibri" w:eastAsia="Calibri" w:hAnsi="Calibri" w:cs="Calibri"/>
          <w:b w:val="0"/>
          <w:sz w:val="22"/>
        </w:rPr>
        <w:t xml:space="preserve"> </w:t>
      </w:r>
      <w:r>
        <w:rPr>
          <w:rFonts w:ascii="Calibri" w:eastAsia="Calibri" w:hAnsi="Calibri" w:cs="Calibri"/>
          <w:b w:val="0"/>
          <w:sz w:val="22"/>
        </w:rPr>
        <w:tab/>
      </w:r>
      <w:proofErr w:type="spellStart"/>
      <w:r>
        <w:t>i</w:t>
      </w:r>
      <w:proofErr w:type="spellEnd"/>
      <w:r>
        <w:t xml:space="preserve">.  Principles of Good Donation  </w:t>
      </w:r>
      <w:bookmarkEnd w:id="1"/>
    </w:p>
    <w:p w14:paraId="7333AABB" w14:textId="77777777" w:rsidR="007B76F7" w:rsidRDefault="00A3762D">
      <w:pPr>
        <w:spacing w:after="16" w:line="259" w:lineRule="auto"/>
        <w:ind w:left="14" w:firstLine="0"/>
      </w:pPr>
      <w:r>
        <w:t xml:space="preserve">  </w:t>
      </w:r>
    </w:p>
    <w:p w14:paraId="2029C092" w14:textId="77777777" w:rsidR="007B76F7" w:rsidRDefault="00A3762D">
      <w:pPr>
        <w:ind w:left="9" w:right="2"/>
      </w:pPr>
      <w:r>
        <w:t xml:space="preserve">The four underlying principles, which form the core of </w:t>
      </w:r>
      <w:r>
        <w:rPr>
          <w:i/>
        </w:rPr>
        <w:t xml:space="preserve">Good Donation Practice, </w:t>
      </w:r>
      <w:r>
        <w:t>are:</w:t>
      </w:r>
      <w:r>
        <w:t xml:space="preserve">  </w:t>
      </w:r>
    </w:p>
    <w:p w14:paraId="7CCD6598" w14:textId="77777777" w:rsidR="007B76F7" w:rsidRDefault="00A3762D">
      <w:pPr>
        <w:spacing w:after="19" w:line="259" w:lineRule="auto"/>
        <w:ind w:left="14" w:firstLine="0"/>
      </w:pPr>
      <w:r>
        <w:t xml:space="preserve">  </w:t>
      </w:r>
    </w:p>
    <w:p w14:paraId="6EBF8023" w14:textId="77777777" w:rsidR="007B76F7" w:rsidRDefault="00A3762D">
      <w:pPr>
        <w:numPr>
          <w:ilvl w:val="0"/>
          <w:numId w:val="2"/>
        </w:numPr>
        <w:ind w:right="2" w:hanging="360"/>
      </w:pPr>
      <w:r>
        <w:t xml:space="preserve">Drugs donations should benefit the recipient to the maximum extent possible.  </w:t>
      </w:r>
    </w:p>
    <w:p w14:paraId="43A3ABBC" w14:textId="77777777" w:rsidR="007B76F7" w:rsidRDefault="00A3762D">
      <w:pPr>
        <w:spacing w:after="19" w:line="259" w:lineRule="auto"/>
        <w:ind w:left="734" w:firstLine="0"/>
      </w:pPr>
      <w:r>
        <w:t xml:space="preserve">  </w:t>
      </w:r>
    </w:p>
    <w:p w14:paraId="79003039" w14:textId="77777777" w:rsidR="007B76F7" w:rsidRDefault="00A3762D">
      <w:pPr>
        <w:numPr>
          <w:ilvl w:val="0"/>
          <w:numId w:val="2"/>
        </w:numPr>
        <w:ind w:right="2" w:hanging="360"/>
      </w:pPr>
      <w:r>
        <w:t xml:space="preserve">Donations should be given with due respect for the wishes and authority of the recipient, and in conformity with government policies and administrative arrangements of the recipient country.  </w:t>
      </w:r>
    </w:p>
    <w:p w14:paraId="1746EE40" w14:textId="77777777" w:rsidR="007B76F7" w:rsidRDefault="00A3762D">
      <w:pPr>
        <w:spacing w:after="19" w:line="259" w:lineRule="auto"/>
        <w:ind w:left="734" w:firstLine="0"/>
      </w:pPr>
      <w:r>
        <w:t xml:space="preserve">  </w:t>
      </w:r>
    </w:p>
    <w:p w14:paraId="172EC453" w14:textId="77777777" w:rsidR="007B76F7" w:rsidRDefault="00A3762D">
      <w:pPr>
        <w:numPr>
          <w:ilvl w:val="0"/>
          <w:numId w:val="2"/>
        </w:numPr>
        <w:ind w:right="2" w:hanging="360"/>
      </w:pPr>
      <w:r>
        <w:t>There should be no double standard in quality. If the qualit</w:t>
      </w:r>
      <w:r>
        <w:t xml:space="preserve">y of an item is unacceptable in the donor country, it is also unacceptable as a donation.  </w:t>
      </w:r>
    </w:p>
    <w:p w14:paraId="782E6B08" w14:textId="77777777" w:rsidR="007B76F7" w:rsidRDefault="00A3762D">
      <w:pPr>
        <w:spacing w:after="21" w:line="259" w:lineRule="auto"/>
        <w:ind w:left="734" w:firstLine="0"/>
      </w:pPr>
      <w:r>
        <w:t xml:space="preserve">  </w:t>
      </w:r>
    </w:p>
    <w:p w14:paraId="27CD0BAB" w14:textId="77777777" w:rsidR="007B76F7" w:rsidRDefault="00A3762D">
      <w:pPr>
        <w:numPr>
          <w:ilvl w:val="0"/>
          <w:numId w:val="2"/>
        </w:numPr>
        <w:ind w:right="2" w:hanging="360"/>
      </w:pPr>
      <w:r>
        <w:t xml:space="preserve">There should be effective communication between the donor and the recipient, with all donations made according to a plan formulated by both parties.  </w:t>
      </w:r>
    </w:p>
    <w:p w14:paraId="0045590B" w14:textId="77777777" w:rsidR="007B76F7" w:rsidRDefault="00A3762D">
      <w:pPr>
        <w:spacing w:after="220" w:line="259" w:lineRule="auto"/>
        <w:ind w:left="734" w:firstLine="0"/>
      </w:pPr>
      <w:r>
        <w:t xml:space="preserve">  </w:t>
      </w:r>
    </w:p>
    <w:p w14:paraId="7F75BE21" w14:textId="77777777" w:rsidR="007B76F7" w:rsidRDefault="00A3762D">
      <w:pPr>
        <w:pStyle w:val="Heading1"/>
        <w:spacing w:after="163"/>
        <w:ind w:left="876"/>
      </w:pPr>
      <w:bookmarkStart w:id="2" w:name="_Toc7321"/>
      <w:r>
        <w:t>b. Gene</w:t>
      </w:r>
      <w:r>
        <w:t xml:space="preserve">ral Requirements  </w:t>
      </w:r>
      <w:bookmarkEnd w:id="2"/>
    </w:p>
    <w:p w14:paraId="630BEE99" w14:textId="77777777" w:rsidR="007B76F7" w:rsidRDefault="00A3762D">
      <w:pPr>
        <w:numPr>
          <w:ilvl w:val="0"/>
          <w:numId w:val="3"/>
        </w:numPr>
        <w:spacing w:after="11"/>
        <w:ind w:right="2" w:hanging="271"/>
      </w:pPr>
      <w:r>
        <w:t xml:space="preserve">All donations should be based on an expressed need and be relevant to the disease pattern in Ghana. These should be based on existing and approved Selective List on Drugs.  </w:t>
      </w:r>
    </w:p>
    <w:p w14:paraId="5BCD607C" w14:textId="77777777" w:rsidR="007B76F7" w:rsidRDefault="00A3762D">
      <w:pPr>
        <w:spacing w:after="24" w:line="259" w:lineRule="auto"/>
        <w:ind w:left="286" w:firstLine="0"/>
      </w:pPr>
      <w:r>
        <w:t xml:space="preserve">  </w:t>
      </w:r>
    </w:p>
    <w:p w14:paraId="70FB6D61" w14:textId="77777777" w:rsidR="007B76F7" w:rsidRDefault="00A3762D">
      <w:pPr>
        <w:numPr>
          <w:ilvl w:val="0"/>
          <w:numId w:val="3"/>
        </w:numPr>
        <w:ind w:right="2" w:hanging="271"/>
      </w:pPr>
      <w:r>
        <w:t>All donated items should appear on the national standards li</w:t>
      </w:r>
      <w:r>
        <w:t xml:space="preserve">sts.  </w:t>
      </w:r>
    </w:p>
    <w:p w14:paraId="78A0177F" w14:textId="77777777" w:rsidR="007B76F7" w:rsidRDefault="00A3762D">
      <w:pPr>
        <w:spacing w:after="19" w:line="259" w:lineRule="auto"/>
        <w:ind w:left="734" w:firstLine="0"/>
      </w:pPr>
      <w:r>
        <w:t xml:space="preserve">  </w:t>
      </w:r>
    </w:p>
    <w:p w14:paraId="30B26DAE" w14:textId="77777777" w:rsidR="007B76F7" w:rsidRDefault="00A3762D">
      <w:pPr>
        <w:numPr>
          <w:ilvl w:val="0"/>
          <w:numId w:val="3"/>
        </w:numPr>
        <w:ind w:right="2" w:hanging="271"/>
      </w:pPr>
      <w:r>
        <w:t xml:space="preserve">Drugs or their generic equivalents should appear on the List of Essential Drugs.  </w:t>
      </w:r>
    </w:p>
    <w:p w14:paraId="48268081" w14:textId="77777777" w:rsidR="007B76F7" w:rsidRDefault="00A3762D">
      <w:pPr>
        <w:spacing w:after="19" w:line="259" w:lineRule="auto"/>
        <w:ind w:left="734" w:firstLine="0"/>
      </w:pPr>
      <w:r>
        <w:t xml:space="preserve">  </w:t>
      </w:r>
    </w:p>
    <w:p w14:paraId="081CBBF8" w14:textId="77777777" w:rsidR="007B76F7" w:rsidRDefault="00A3762D">
      <w:pPr>
        <w:spacing w:after="0" w:line="259" w:lineRule="auto"/>
        <w:ind w:left="286" w:firstLine="0"/>
      </w:pPr>
      <w:r>
        <w:t xml:space="preserve">  </w:t>
      </w:r>
    </w:p>
    <w:p w14:paraId="5163CA2C" w14:textId="77777777" w:rsidR="007B76F7" w:rsidRDefault="00A3762D">
      <w:pPr>
        <w:spacing w:after="422" w:line="259" w:lineRule="auto"/>
        <w:ind w:left="14" w:firstLine="0"/>
      </w:pPr>
      <w:r>
        <w:lastRenderedPageBreak/>
        <w:t xml:space="preserve">                                                                                      </w:t>
      </w:r>
    </w:p>
    <w:p w14:paraId="7C4FD2D9" w14:textId="77777777" w:rsidR="007B76F7" w:rsidRDefault="00A3762D">
      <w:pPr>
        <w:numPr>
          <w:ilvl w:val="0"/>
          <w:numId w:val="3"/>
        </w:numPr>
        <w:ind w:right="2" w:hanging="271"/>
      </w:pPr>
      <w:r>
        <w:t xml:space="preserve">The specifications of donated items should be similar to those of items commonly used in Ghana.  </w:t>
      </w:r>
    </w:p>
    <w:p w14:paraId="1D58B902" w14:textId="77777777" w:rsidR="007B76F7" w:rsidRDefault="00A3762D">
      <w:pPr>
        <w:numPr>
          <w:ilvl w:val="0"/>
          <w:numId w:val="3"/>
        </w:numPr>
        <w:spacing w:after="155"/>
        <w:ind w:right="2" w:hanging="271"/>
      </w:pPr>
      <w:r>
        <w:t xml:space="preserve">All product intended for donation shall have at least 60% of its shelf </w:t>
      </w:r>
      <w:r>
        <w:t xml:space="preserve">life remaining.    This notwithstanding, products with a shelf life of less than 24 months shall have at     least 80% of its shelf life remaining at the time of importation.  </w:t>
      </w:r>
    </w:p>
    <w:p w14:paraId="6FBE4409" w14:textId="77777777" w:rsidR="007B76F7" w:rsidRDefault="00A3762D">
      <w:pPr>
        <w:numPr>
          <w:ilvl w:val="0"/>
          <w:numId w:val="4"/>
        </w:numPr>
        <w:ind w:right="2" w:hanging="271"/>
      </w:pPr>
      <w:r>
        <w:t>Products requiring refrigeration or freezing for stability must specifically in</w:t>
      </w:r>
      <w:r>
        <w:t xml:space="preserve">dicate storage requirements, both on labels and containers as well as on the documents and be shipped in special containers to ensure that the cold chain is maintained.  </w:t>
      </w:r>
    </w:p>
    <w:p w14:paraId="714503F4" w14:textId="77777777" w:rsidR="007B76F7" w:rsidRDefault="00A3762D">
      <w:pPr>
        <w:spacing w:after="21" w:line="259" w:lineRule="auto"/>
        <w:ind w:left="286" w:firstLine="0"/>
      </w:pPr>
      <w:r>
        <w:t xml:space="preserve">  </w:t>
      </w:r>
    </w:p>
    <w:p w14:paraId="7FB59D0D" w14:textId="77777777" w:rsidR="007B76F7" w:rsidRDefault="00A3762D">
      <w:pPr>
        <w:numPr>
          <w:ilvl w:val="0"/>
          <w:numId w:val="4"/>
        </w:numPr>
        <w:ind w:right="2" w:hanging="271"/>
      </w:pPr>
      <w:r>
        <w:t>In accordance with section 148 of the Public Health Act of 2012 (Act 851), the rec</w:t>
      </w:r>
      <w:r>
        <w:t xml:space="preserve">ipient is to ensure that a Qualified Person for Pharmacovigilance actively monitor and report all adverse drug reactions experienced accordingly to the Authority.  </w:t>
      </w:r>
    </w:p>
    <w:p w14:paraId="7556EDD6" w14:textId="77777777" w:rsidR="007B76F7" w:rsidRDefault="00A3762D">
      <w:pPr>
        <w:spacing w:after="220" w:line="259" w:lineRule="auto"/>
        <w:ind w:left="734" w:firstLine="0"/>
      </w:pPr>
      <w:r>
        <w:t xml:space="preserve">  </w:t>
      </w:r>
    </w:p>
    <w:p w14:paraId="22EF1D29" w14:textId="77777777" w:rsidR="007B76F7" w:rsidRDefault="00A3762D">
      <w:pPr>
        <w:pStyle w:val="Heading1"/>
        <w:ind w:left="384"/>
      </w:pPr>
      <w:bookmarkStart w:id="3" w:name="_Toc7322"/>
      <w:r>
        <w:t xml:space="preserve">c. Specific Requirements  </w:t>
      </w:r>
      <w:bookmarkEnd w:id="3"/>
    </w:p>
    <w:p w14:paraId="4A3E6F75" w14:textId="77777777" w:rsidR="007B76F7" w:rsidRDefault="00A3762D">
      <w:pPr>
        <w:spacing w:after="239" w:line="259" w:lineRule="auto"/>
        <w:ind w:left="14" w:firstLine="0"/>
      </w:pPr>
      <w:r>
        <w:rPr>
          <w:rFonts w:ascii="Calibri" w:eastAsia="Calibri" w:hAnsi="Calibri" w:cs="Calibri"/>
          <w:sz w:val="22"/>
        </w:rPr>
        <w:t xml:space="preserve"> </w:t>
      </w:r>
      <w:r>
        <w:t xml:space="preserve"> </w:t>
      </w:r>
    </w:p>
    <w:p w14:paraId="5846B2DE" w14:textId="77777777" w:rsidR="007B76F7" w:rsidRDefault="00A3762D">
      <w:pPr>
        <w:pStyle w:val="Heading2"/>
        <w:tabs>
          <w:tab w:val="center" w:pos="799"/>
          <w:tab w:val="center" w:pos="1992"/>
        </w:tabs>
        <w:spacing w:after="47"/>
        <w:ind w:left="-1" w:firstLine="0"/>
      </w:pPr>
      <w:bookmarkStart w:id="4" w:name="_Toc7323"/>
      <w:r>
        <w:rPr>
          <w:rFonts w:ascii="Calibri" w:eastAsia="Calibri" w:hAnsi="Calibri" w:cs="Calibri"/>
          <w:b w:val="0"/>
          <w:sz w:val="22"/>
        </w:rPr>
        <w:t xml:space="preserve"> </w:t>
      </w:r>
      <w:r>
        <w:rPr>
          <w:rFonts w:ascii="Calibri" w:eastAsia="Calibri" w:hAnsi="Calibri" w:cs="Calibri"/>
          <w:b w:val="0"/>
          <w:sz w:val="22"/>
        </w:rPr>
        <w:tab/>
      </w:r>
      <w:proofErr w:type="spellStart"/>
      <w:r>
        <w:t>i</w:t>
      </w:r>
      <w:proofErr w:type="spellEnd"/>
      <w:r>
        <w:t xml:space="preserve">.  </w:t>
      </w:r>
      <w:r>
        <w:tab/>
        <w:t xml:space="preserve">Registration  </w:t>
      </w:r>
      <w:bookmarkEnd w:id="4"/>
    </w:p>
    <w:p w14:paraId="2B48E6E9" w14:textId="77777777" w:rsidR="007B76F7" w:rsidRDefault="00A3762D">
      <w:pPr>
        <w:spacing w:after="237" w:line="259" w:lineRule="auto"/>
        <w:ind w:left="14" w:firstLine="0"/>
      </w:pPr>
      <w:r>
        <w:rPr>
          <w:rFonts w:ascii="Calibri" w:eastAsia="Calibri" w:hAnsi="Calibri" w:cs="Calibri"/>
          <w:sz w:val="22"/>
        </w:rPr>
        <w:t xml:space="preserve"> </w:t>
      </w:r>
      <w:r>
        <w:t xml:space="preserve"> </w:t>
      </w:r>
    </w:p>
    <w:p w14:paraId="26CF4094" w14:textId="77777777" w:rsidR="007B76F7" w:rsidRDefault="00A3762D">
      <w:pPr>
        <w:numPr>
          <w:ilvl w:val="0"/>
          <w:numId w:val="5"/>
        </w:numPr>
        <w:ind w:right="2" w:hanging="360"/>
      </w:pPr>
      <w:r>
        <w:t>A non-</w:t>
      </w:r>
      <w:r>
        <w:t>resident applicant would be required to appoint a local agent with the requisite mandate to represent the said applicant. For donation of drugs the local agent may be the recipient of the donated drugs. The agent would be required to produce the relevant d</w:t>
      </w:r>
      <w:r>
        <w:t xml:space="preserve">ocumentation including, but not limited to, a power of attorney or any other documentation, affirming his/her appointment as an agent.  </w:t>
      </w:r>
    </w:p>
    <w:p w14:paraId="77ED2FA0" w14:textId="77777777" w:rsidR="007B76F7" w:rsidRDefault="00A3762D">
      <w:pPr>
        <w:spacing w:after="19" w:line="259" w:lineRule="auto"/>
        <w:ind w:left="374" w:firstLine="0"/>
      </w:pPr>
      <w:r>
        <w:t xml:space="preserve">  </w:t>
      </w:r>
    </w:p>
    <w:p w14:paraId="6149005D" w14:textId="77777777" w:rsidR="007B76F7" w:rsidRDefault="00A3762D">
      <w:pPr>
        <w:numPr>
          <w:ilvl w:val="0"/>
          <w:numId w:val="5"/>
        </w:numPr>
        <w:ind w:right="2" w:hanging="360"/>
      </w:pPr>
      <w:r>
        <w:t>Where the drug to be donated has been registered in Ghana by the FDA, the recipient of the donated item would be req</w:t>
      </w:r>
      <w:r>
        <w:t xml:space="preserve">uired to liaise with the Company that holds the market authorization in Ghana. This would be for the purposes of monitoring the safety of the drug.  </w:t>
      </w:r>
    </w:p>
    <w:p w14:paraId="489FD7B6" w14:textId="77777777" w:rsidR="007B76F7" w:rsidRDefault="00A3762D">
      <w:pPr>
        <w:spacing w:after="19" w:line="259" w:lineRule="auto"/>
        <w:ind w:left="734" w:firstLine="0"/>
      </w:pPr>
      <w:r>
        <w:t xml:space="preserve">  </w:t>
      </w:r>
    </w:p>
    <w:p w14:paraId="3723387C" w14:textId="77777777" w:rsidR="007B76F7" w:rsidRDefault="00A3762D">
      <w:pPr>
        <w:numPr>
          <w:ilvl w:val="0"/>
          <w:numId w:val="5"/>
        </w:numPr>
        <w:ind w:right="2" w:hanging="360"/>
      </w:pPr>
      <w:r>
        <w:t>Where the drug is not registered in the country, the donation would be permitted only after the drug ha</w:t>
      </w:r>
      <w:r>
        <w:t xml:space="preserve">s been duly registered please refer to the FDA’s guidelines for the registration of the drug.  </w:t>
      </w:r>
    </w:p>
    <w:p w14:paraId="5D3ABEF1" w14:textId="77777777" w:rsidR="007B76F7" w:rsidRDefault="00A3762D">
      <w:pPr>
        <w:spacing w:after="19" w:line="259" w:lineRule="auto"/>
        <w:ind w:left="734" w:firstLine="0"/>
      </w:pPr>
      <w:r>
        <w:t xml:space="preserve">  </w:t>
      </w:r>
    </w:p>
    <w:p w14:paraId="31BC11D9" w14:textId="77777777" w:rsidR="007B76F7" w:rsidRDefault="00A3762D">
      <w:pPr>
        <w:numPr>
          <w:ilvl w:val="0"/>
          <w:numId w:val="5"/>
        </w:numPr>
        <w:ind w:right="2" w:hanging="360"/>
      </w:pPr>
      <w:r>
        <w:t xml:space="preserve">Donations for products limited to be manufactured only by Local manufacturers cannot be imported for donations.  </w:t>
      </w:r>
    </w:p>
    <w:p w14:paraId="170573B2" w14:textId="77777777" w:rsidR="007B76F7" w:rsidRDefault="00A3762D">
      <w:pPr>
        <w:spacing w:after="19" w:line="259" w:lineRule="auto"/>
        <w:ind w:left="734" w:firstLine="0"/>
      </w:pPr>
      <w:r>
        <w:t xml:space="preserve">  </w:t>
      </w:r>
    </w:p>
    <w:p w14:paraId="4734408A" w14:textId="77777777" w:rsidR="007B76F7" w:rsidRDefault="00A3762D">
      <w:pPr>
        <w:numPr>
          <w:ilvl w:val="0"/>
          <w:numId w:val="5"/>
        </w:numPr>
        <w:ind w:right="2" w:hanging="360"/>
      </w:pPr>
      <w:r>
        <w:lastRenderedPageBreak/>
        <w:t>An application for drug donations should</w:t>
      </w:r>
      <w:r>
        <w:t xml:space="preserve"> include the packing list of the products.   The packing list should include the Name of the Product, Manufacturer, Strength of the product, dosage form and the expiry dates of the items to be donated.  </w:t>
      </w:r>
    </w:p>
    <w:p w14:paraId="3A9CD5E9" w14:textId="77777777" w:rsidR="007B76F7" w:rsidRDefault="00A3762D">
      <w:pPr>
        <w:spacing w:after="422" w:line="259" w:lineRule="auto"/>
        <w:ind w:left="14" w:firstLine="0"/>
      </w:pPr>
      <w:r>
        <w:t xml:space="preserve">                                                    </w:t>
      </w:r>
      <w:r>
        <w:t xml:space="preserve">                                  </w:t>
      </w:r>
    </w:p>
    <w:p w14:paraId="2DC71513" w14:textId="77777777" w:rsidR="007B76F7" w:rsidRDefault="00A3762D">
      <w:pPr>
        <w:spacing w:after="2" w:line="259" w:lineRule="auto"/>
        <w:ind w:left="374" w:firstLine="0"/>
      </w:pPr>
      <w:r>
        <w:t xml:space="preserve">  </w:t>
      </w:r>
    </w:p>
    <w:p w14:paraId="4980540A" w14:textId="77777777" w:rsidR="007B76F7" w:rsidRDefault="00A3762D">
      <w:pPr>
        <w:pStyle w:val="Heading2"/>
        <w:tabs>
          <w:tab w:val="center" w:pos="1180"/>
        </w:tabs>
        <w:spacing w:after="47"/>
        <w:ind w:left="-1" w:firstLine="0"/>
      </w:pPr>
      <w:bookmarkStart w:id="5" w:name="_Toc7324"/>
      <w:r>
        <w:rPr>
          <w:rFonts w:ascii="Calibri" w:eastAsia="Calibri" w:hAnsi="Calibri" w:cs="Calibri"/>
          <w:b w:val="0"/>
          <w:sz w:val="22"/>
        </w:rPr>
        <w:t xml:space="preserve"> </w:t>
      </w:r>
      <w:r>
        <w:rPr>
          <w:rFonts w:ascii="Calibri" w:eastAsia="Calibri" w:hAnsi="Calibri" w:cs="Calibri"/>
          <w:b w:val="0"/>
          <w:sz w:val="22"/>
        </w:rPr>
        <w:tab/>
      </w:r>
      <w:r>
        <w:t xml:space="preserve">ii.  Fees  </w:t>
      </w:r>
      <w:bookmarkEnd w:id="5"/>
    </w:p>
    <w:p w14:paraId="5B24F12D" w14:textId="77777777" w:rsidR="007B76F7" w:rsidRDefault="00A3762D">
      <w:pPr>
        <w:spacing w:after="237" w:line="259" w:lineRule="auto"/>
        <w:ind w:left="14" w:firstLine="0"/>
      </w:pPr>
      <w:r>
        <w:rPr>
          <w:rFonts w:ascii="Calibri" w:eastAsia="Calibri" w:hAnsi="Calibri" w:cs="Calibri"/>
          <w:sz w:val="22"/>
        </w:rPr>
        <w:t xml:space="preserve"> </w:t>
      </w:r>
      <w:r>
        <w:t xml:space="preserve"> </w:t>
      </w:r>
    </w:p>
    <w:p w14:paraId="33453A9E" w14:textId="77777777" w:rsidR="007B76F7" w:rsidRDefault="00A3762D">
      <w:pPr>
        <w:numPr>
          <w:ilvl w:val="0"/>
          <w:numId w:val="6"/>
        </w:numPr>
        <w:ind w:right="2" w:hanging="360"/>
      </w:pPr>
      <w:r>
        <w:t xml:space="preserve">All fees in connection with the registration of drugs are specified in the current FDA Fee Schedule.  </w:t>
      </w:r>
    </w:p>
    <w:p w14:paraId="01E68F20" w14:textId="77777777" w:rsidR="007B76F7" w:rsidRDefault="00A3762D">
      <w:pPr>
        <w:spacing w:after="19" w:line="259" w:lineRule="auto"/>
        <w:ind w:left="734" w:firstLine="0"/>
      </w:pPr>
      <w:r>
        <w:t xml:space="preserve">  </w:t>
      </w:r>
    </w:p>
    <w:p w14:paraId="050D7C4B" w14:textId="77777777" w:rsidR="007B76F7" w:rsidRDefault="00A3762D">
      <w:pPr>
        <w:numPr>
          <w:ilvl w:val="0"/>
          <w:numId w:val="6"/>
        </w:numPr>
        <w:ind w:right="2" w:hanging="360"/>
      </w:pPr>
      <w:r>
        <w:t xml:space="preserve">No fee is Charged for processing applications for donation for registered products.    </w:t>
      </w:r>
    </w:p>
    <w:p w14:paraId="71660F87" w14:textId="77777777" w:rsidR="007B76F7" w:rsidRDefault="00A3762D">
      <w:pPr>
        <w:spacing w:after="61" w:line="259" w:lineRule="auto"/>
        <w:ind w:left="734" w:firstLine="0"/>
      </w:pPr>
      <w:r>
        <w:rPr>
          <w:b/>
          <w:sz w:val="22"/>
        </w:rPr>
        <w:t xml:space="preserve"> </w:t>
      </w:r>
      <w:r>
        <w:t xml:space="preserve">  </w:t>
      </w:r>
    </w:p>
    <w:p w14:paraId="736EAD69" w14:textId="77777777" w:rsidR="007B76F7" w:rsidRDefault="00A3762D">
      <w:pPr>
        <w:pStyle w:val="Heading2"/>
        <w:ind w:left="732"/>
      </w:pPr>
      <w:bookmarkStart w:id="6" w:name="_Toc7325"/>
      <w:r>
        <w:t xml:space="preserve">iii. Letter  </w:t>
      </w:r>
      <w:bookmarkEnd w:id="6"/>
    </w:p>
    <w:p w14:paraId="77FF7E1E" w14:textId="77777777" w:rsidR="007B76F7" w:rsidRDefault="00A3762D">
      <w:pPr>
        <w:spacing w:after="19" w:line="259" w:lineRule="auto"/>
        <w:ind w:left="14" w:firstLine="0"/>
      </w:pPr>
      <w:r>
        <w:t xml:space="preserve">  </w:t>
      </w:r>
    </w:p>
    <w:p w14:paraId="1F96312C" w14:textId="77777777" w:rsidR="007B76F7" w:rsidRDefault="00A3762D">
      <w:pPr>
        <w:ind w:left="9" w:right="2"/>
      </w:pPr>
      <w:r>
        <w:t xml:space="preserve">All applications for processing of drug donations shall be made by submitting a letter addressed to:  </w:t>
      </w:r>
    </w:p>
    <w:p w14:paraId="5FE92A97" w14:textId="77777777" w:rsidR="007B76F7" w:rsidRDefault="00A3762D">
      <w:pPr>
        <w:spacing w:after="21" w:line="259" w:lineRule="auto"/>
        <w:ind w:left="14" w:firstLine="0"/>
      </w:pPr>
      <w:r>
        <w:t xml:space="preserve">  </w:t>
      </w:r>
    </w:p>
    <w:p w14:paraId="0F13D93F" w14:textId="77777777" w:rsidR="007B76F7" w:rsidRDefault="00A3762D">
      <w:pPr>
        <w:ind w:left="9" w:right="2"/>
      </w:pPr>
      <w:r>
        <w:t xml:space="preserve">The Chief Executive Officer  </w:t>
      </w:r>
    </w:p>
    <w:p w14:paraId="0781F911" w14:textId="77777777" w:rsidR="007B76F7" w:rsidRDefault="00A3762D">
      <w:pPr>
        <w:ind w:left="9" w:right="2"/>
      </w:pPr>
      <w:r>
        <w:t>Food and Dr</w:t>
      </w:r>
      <w:r>
        <w:t xml:space="preserve">ugs Authority  </w:t>
      </w:r>
    </w:p>
    <w:p w14:paraId="203CB6FA" w14:textId="77777777" w:rsidR="007B76F7" w:rsidRDefault="00A3762D">
      <w:pPr>
        <w:ind w:left="9" w:right="2"/>
      </w:pPr>
      <w:r>
        <w:t xml:space="preserve">P. O. Box CT 2783  </w:t>
      </w:r>
    </w:p>
    <w:p w14:paraId="54445854" w14:textId="77777777" w:rsidR="007B76F7" w:rsidRDefault="00A3762D">
      <w:pPr>
        <w:ind w:left="9" w:right="2"/>
      </w:pPr>
      <w:r>
        <w:t xml:space="preserve">Cantonments – Accra  </w:t>
      </w:r>
    </w:p>
    <w:p w14:paraId="5CFD819B" w14:textId="77777777" w:rsidR="007B76F7" w:rsidRDefault="00A3762D">
      <w:pPr>
        <w:spacing w:after="260" w:line="259" w:lineRule="auto"/>
        <w:ind w:left="14" w:firstLine="0"/>
      </w:pPr>
      <w:r>
        <w:t xml:space="preserve">  </w:t>
      </w:r>
    </w:p>
    <w:p w14:paraId="0461F127" w14:textId="77777777" w:rsidR="007B76F7" w:rsidRDefault="00A3762D">
      <w:pPr>
        <w:pStyle w:val="Heading1"/>
        <w:spacing w:after="47"/>
        <w:ind w:left="9"/>
      </w:pPr>
      <w:bookmarkStart w:id="7" w:name="_Toc7326"/>
      <w:r>
        <w:t xml:space="preserve">4. TIMELINES </w:t>
      </w:r>
      <w:r>
        <w:rPr>
          <w:rFonts w:ascii="Calibri" w:eastAsia="Calibri" w:hAnsi="Calibri" w:cs="Calibri"/>
          <w:b w:val="0"/>
          <w:sz w:val="22"/>
        </w:rPr>
        <w:t xml:space="preserve"> </w:t>
      </w:r>
      <w:bookmarkEnd w:id="7"/>
    </w:p>
    <w:p w14:paraId="3C6D107A" w14:textId="77777777" w:rsidR="007B76F7" w:rsidRDefault="00A3762D">
      <w:pPr>
        <w:spacing w:after="240" w:line="259" w:lineRule="auto"/>
        <w:ind w:left="14" w:firstLine="0"/>
      </w:pPr>
      <w:r>
        <w:rPr>
          <w:rFonts w:ascii="Calibri" w:eastAsia="Calibri" w:hAnsi="Calibri" w:cs="Calibri"/>
          <w:sz w:val="22"/>
        </w:rPr>
        <w:t xml:space="preserve"> </w:t>
      </w:r>
      <w:r>
        <w:t xml:space="preserve"> </w:t>
      </w:r>
    </w:p>
    <w:p w14:paraId="3F1DF1B6" w14:textId="77777777" w:rsidR="007B76F7" w:rsidRDefault="00A3762D">
      <w:pPr>
        <w:ind w:left="9" w:right="2"/>
      </w:pPr>
      <w:r>
        <w:t xml:space="preserve">A minimum period of 1(one) month is to be allowed for the completion of the process.  </w:t>
      </w:r>
    </w:p>
    <w:p w14:paraId="7ACEA157" w14:textId="77777777" w:rsidR="007B76F7" w:rsidRDefault="00A3762D">
      <w:pPr>
        <w:spacing w:after="260" w:line="259" w:lineRule="auto"/>
        <w:ind w:left="14" w:firstLine="0"/>
      </w:pPr>
      <w:r>
        <w:t xml:space="preserve">  </w:t>
      </w:r>
    </w:p>
    <w:p w14:paraId="641078B8" w14:textId="77777777" w:rsidR="007B76F7" w:rsidRDefault="00A3762D">
      <w:pPr>
        <w:pStyle w:val="Heading1"/>
        <w:spacing w:after="47"/>
        <w:ind w:left="9"/>
      </w:pPr>
      <w:bookmarkStart w:id="8" w:name="_Toc7327"/>
      <w:r>
        <w:t xml:space="preserve">5. PENALTIES </w:t>
      </w:r>
      <w:r>
        <w:rPr>
          <w:rFonts w:ascii="Calibri" w:eastAsia="Calibri" w:hAnsi="Calibri" w:cs="Calibri"/>
          <w:b w:val="0"/>
          <w:sz w:val="22"/>
        </w:rPr>
        <w:t xml:space="preserve"> </w:t>
      </w:r>
      <w:bookmarkEnd w:id="8"/>
    </w:p>
    <w:p w14:paraId="66F41D42" w14:textId="77777777" w:rsidR="007B76F7" w:rsidRDefault="00A3762D">
      <w:pPr>
        <w:spacing w:after="237" w:line="259" w:lineRule="auto"/>
        <w:ind w:left="14" w:firstLine="0"/>
      </w:pPr>
      <w:r>
        <w:rPr>
          <w:rFonts w:ascii="Calibri" w:eastAsia="Calibri" w:hAnsi="Calibri" w:cs="Calibri"/>
          <w:sz w:val="22"/>
        </w:rPr>
        <w:t xml:space="preserve"> </w:t>
      </w:r>
      <w:r>
        <w:t xml:space="preserve"> </w:t>
      </w:r>
    </w:p>
    <w:p w14:paraId="3E1354D4" w14:textId="77777777" w:rsidR="007B76F7" w:rsidRDefault="00A3762D">
      <w:pPr>
        <w:ind w:left="9" w:right="2"/>
      </w:pPr>
      <w:r>
        <w:t xml:space="preserve">In line with the provisions of Section 129, Part 7, Act 851, the Public Health Act, 2012, a person who contravenes these Guidelines commits an offence and is liable on summary conviction:  </w:t>
      </w:r>
    </w:p>
    <w:p w14:paraId="06AA196B" w14:textId="77777777" w:rsidR="007B76F7" w:rsidRDefault="00A3762D">
      <w:pPr>
        <w:spacing w:after="21" w:line="259" w:lineRule="auto"/>
        <w:ind w:left="14" w:firstLine="0"/>
      </w:pPr>
      <w:r>
        <w:t xml:space="preserve">   </w:t>
      </w:r>
    </w:p>
    <w:p w14:paraId="469DCD87" w14:textId="77777777" w:rsidR="007B76F7" w:rsidRDefault="00A3762D">
      <w:pPr>
        <w:numPr>
          <w:ilvl w:val="0"/>
          <w:numId w:val="7"/>
        </w:numPr>
        <w:ind w:right="2" w:hanging="360"/>
      </w:pPr>
      <w:r>
        <w:t>to a fine not less than seven thousand five hundred (7,500) pe</w:t>
      </w:r>
      <w:r>
        <w:t xml:space="preserve">nalty units and not more than Fifteen thousand penalty units (15,000), or  </w:t>
      </w:r>
    </w:p>
    <w:p w14:paraId="2EE27B9A" w14:textId="77777777" w:rsidR="007B76F7" w:rsidRDefault="00A3762D">
      <w:pPr>
        <w:spacing w:after="19" w:line="259" w:lineRule="auto"/>
        <w:ind w:left="734" w:firstLine="0"/>
      </w:pPr>
      <w:r>
        <w:t xml:space="preserve">  </w:t>
      </w:r>
    </w:p>
    <w:p w14:paraId="41AC8854" w14:textId="77777777" w:rsidR="007B76F7" w:rsidRDefault="00A3762D">
      <w:pPr>
        <w:numPr>
          <w:ilvl w:val="0"/>
          <w:numId w:val="7"/>
        </w:numPr>
        <w:ind w:right="2" w:hanging="360"/>
      </w:pPr>
      <w:r>
        <w:lastRenderedPageBreak/>
        <w:t xml:space="preserve">to a term of imprisonment of not less than fifteen years and not more than twenty-five years, or to both  </w:t>
      </w:r>
    </w:p>
    <w:sectPr w:rsidR="007B76F7">
      <w:headerReference w:type="even" r:id="rId14"/>
      <w:headerReference w:type="default" r:id="rId15"/>
      <w:footerReference w:type="even" r:id="rId16"/>
      <w:footerReference w:type="default" r:id="rId17"/>
      <w:headerReference w:type="first" r:id="rId18"/>
      <w:footerReference w:type="first" r:id="rId19"/>
      <w:pgSz w:w="12240" w:h="15840"/>
      <w:pgMar w:top="733" w:right="1446" w:bottom="1736" w:left="1426" w:header="728" w:footer="709"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BA7D1" w14:textId="77777777" w:rsidR="00A3762D" w:rsidRDefault="00A3762D">
      <w:pPr>
        <w:spacing w:after="0" w:line="240" w:lineRule="auto"/>
      </w:pPr>
      <w:r>
        <w:separator/>
      </w:r>
    </w:p>
  </w:endnote>
  <w:endnote w:type="continuationSeparator" w:id="0">
    <w:p w14:paraId="1876AC7E" w14:textId="77777777" w:rsidR="00A3762D" w:rsidRDefault="00A37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37984" w14:textId="77777777" w:rsidR="007B76F7" w:rsidRDefault="007B76F7">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57D35" w14:textId="77777777" w:rsidR="007B76F7" w:rsidRDefault="007B76F7">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C9D74" w14:textId="77777777" w:rsidR="007B76F7" w:rsidRDefault="007B76F7">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78BDC" w14:textId="77777777" w:rsidR="007B76F7" w:rsidRDefault="00A3762D">
    <w:pPr>
      <w:spacing w:after="41" w:line="259" w:lineRule="auto"/>
      <w:ind w:left="22" w:firstLine="0"/>
      <w:jc w:val="center"/>
    </w:pPr>
    <w:r>
      <w:rPr>
        <w:rFonts w:ascii="Calibri" w:eastAsia="Calibri" w:hAnsi="Calibri" w:cs="Calibri"/>
        <w:b/>
        <w:sz w:val="22"/>
      </w:rPr>
      <w:t xml:space="preserve">Page </w:t>
    </w:r>
    <w:r>
      <w:fldChar w:fldCharType="begin"/>
    </w:r>
    <w:r>
      <w:instrText xml:space="preserve"> PAGE   \* MERGEFORMAT </w:instrText>
    </w:r>
    <w:r>
      <w:fldChar w:fldCharType="separate"/>
    </w:r>
    <w:r>
      <w:rPr>
        <w:rFonts w:ascii="Calibri" w:eastAsia="Calibri" w:hAnsi="Calibri" w:cs="Calibri"/>
        <w:b/>
        <w:sz w:val="22"/>
      </w:rPr>
      <w:t>2</w:t>
    </w:r>
    <w:r>
      <w:rPr>
        <w:rFonts w:ascii="Calibri" w:eastAsia="Calibri" w:hAnsi="Calibri" w:cs="Calibri"/>
        <w:b/>
        <w:sz w:val="22"/>
      </w:rPr>
      <w:fldChar w:fldCharType="end"/>
    </w:r>
    <w:r>
      <w:rPr>
        <w:rFonts w:ascii="Calibri" w:eastAsia="Calibri" w:hAnsi="Calibri" w:cs="Calibri"/>
        <w:b/>
        <w:sz w:val="22"/>
      </w:rPr>
      <w:t xml:space="preserve"> of 4 </w:t>
    </w:r>
    <w:r>
      <w:t xml:space="preserve"> </w:t>
    </w:r>
  </w:p>
  <w:p w14:paraId="409D4DFD" w14:textId="77777777" w:rsidR="007B76F7" w:rsidRDefault="00A3762D">
    <w:pPr>
      <w:spacing w:after="0" w:line="259" w:lineRule="auto"/>
      <w:ind w:left="14" w:firstLine="0"/>
    </w:pPr>
    <w:r>
      <w:rPr>
        <w:rFonts w:ascii="Calibri" w:eastAsia="Calibri" w:hAnsi="Calibri" w:cs="Calibri"/>
        <w:b/>
        <w:sz w:val="22"/>
      </w:rPr>
      <w:t xml:space="preserve"> </w:t>
    </w:r>
    <w:r>
      <w:rPr>
        <w:rFonts w:ascii="Calibri" w:eastAsia="Calibri" w:hAnsi="Calibri" w:cs="Calibri"/>
        <w:sz w:val="22"/>
      </w:rPr>
      <w:t xml:space="preserve"> </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89F06" w14:textId="77777777" w:rsidR="007B76F7" w:rsidRDefault="00A3762D">
    <w:pPr>
      <w:spacing w:after="41" w:line="259" w:lineRule="auto"/>
      <w:ind w:left="22" w:firstLine="0"/>
      <w:jc w:val="center"/>
    </w:pPr>
    <w:r>
      <w:rPr>
        <w:rFonts w:ascii="Calibri" w:eastAsia="Calibri" w:hAnsi="Calibri" w:cs="Calibri"/>
        <w:b/>
        <w:sz w:val="22"/>
      </w:rPr>
      <w:t xml:space="preserve">Page </w:t>
    </w:r>
    <w:r>
      <w:fldChar w:fldCharType="begin"/>
    </w:r>
    <w:r>
      <w:instrText xml:space="preserve"> PAGE   \* MERGEFORMAT </w:instrText>
    </w:r>
    <w:r>
      <w:fldChar w:fldCharType="separate"/>
    </w:r>
    <w:r>
      <w:rPr>
        <w:rFonts w:ascii="Calibri" w:eastAsia="Calibri" w:hAnsi="Calibri" w:cs="Calibri"/>
        <w:b/>
        <w:sz w:val="22"/>
      </w:rPr>
      <w:t>2</w:t>
    </w:r>
    <w:r>
      <w:rPr>
        <w:rFonts w:ascii="Calibri" w:eastAsia="Calibri" w:hAnsi="Calibri" w:cs="Calibri"/>
        <w:b/>
        <w:sz w:val="22"/>
      </w:rPr>
      <w:fldChar w:fldCharType="end"/>
    </w:r>
    <w:r>
      <w:rPr>
        <w:rFonts w:ascii="Calibri" w:eastAsia="Calibri" w:hAnsi="Calibri" w:cs="Calibri"/>
        <w:b/>
        <w:sz w:val="22"/>
      </w:rPr>
      <w:t xml:space="preserve"> of 4 </w:t>
    </w:r>
    <w:r>
      <w:t xml:space="preserve"> </w:t>
    </w:r>
  </w:p>
  <w:p w14:paraId="3B098FE8" w14:textId="77777777" w:rsidR="007B76F7" w:rsidRDefault="00A3762D">
    <w:pPr>
      <w:spacing w:after="0" w:line="259" w:lineRule="auto"/>
      <w:ind w:left="14" w:firstLine="0"/>
    </w:pPr>
    <w:r>
      <w:rPr>
        <w:rFonts w:ascii="Calibri" w:eastAsia="Calibri" w:hAnsi="Calibri" w:cs="Calibri"/>
        <w:b/>
        <w:sz w:val="22"/>
      </w:rPr>
      <w:t xml:space="preserve"> </w:t>
    </w:r>
    <w:r>
      <w:rPr>
        <w:rFonts w:ascii="Calibri" w:eastAsia="Calibri" w:hAnsi="Calibri" w:cs="Calibri"/>
        <w:sz w:val="22"/>
      </w:rPr>
      <w:t xml:space="preserve"> </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2DC1D" w14:textId="77777777" w:rsidR="007B76F7" w:rsidRDefault="00A3762D">
    <w:pPr>
      <w:spacing w:after="41" w:line="259" w:lineRule="auto"/>
      <w:ind w:left="22" w:firstLine="0"/>
      <w:jc w:val="center"/>
    </w:pPr>
    <w:r>
      <w:rPr>
        <w:rFonts w:ascii="Calibri" w:eastAsia="Calibri" w:hAnsi="Calibri" w:cs="Calibri"/>
        <w:b/>
        <w:sz w:val="22"/>
      </w:rPr>
      <w:t xml:space="preserve">Page </w:t>
    </w:r>
    <w:r>
      <w:fldChar w:fldCharType="begin"/>
    </w:r>
    <w:r>
      <w:instrText xml:space="preserve"> PAGE   \* MERGEFORMAT </w:instrText>
    </w:r>
    <w:r>
      <w:fldChar w:fldCharType="separate"/>
    </w:r>
    <w:r>
      <w:rPr>
        <w:rFonts w:ascii="Calibri" w:eastAsia="Calibri" w:hAnsi="Calibri" w:cs="Calibri"/>
        <w:b/>
        <w:sz w:val="22"/>
      </w:rPr>
      <w:t>2</w:t>
    </w:r>
    <w:r>
      <w:rPr>
        <w:rFonts w:ascii="Calibri" w:eastAsia="Calibri" w:hAnsi="Calibri" w:cs="Calibri"/>
        <w:b/>
        <w:sz w:val="22"/>
      </w:rPr>
      <w:fldChar w:fldCharType="end"/>
    </w:r>
    <w:r>
      <w:rPr>
        <w:rFonts w:ascii="Calibri" w:eastAsia="Calibri" w:hAnsi="Calibri" w:cs="Calibri"/>
        <w:b/>
        <w:sz w:val="22"/>
      </w:rPr>
      <w:t xml:space="preserve"> of 4 </w:t>
    </w:r>
    <w:r>
      <w:t xml:space="preserve"> </w:t>
    </w:r>
  </w:p>
  <w:p w14:paraId="66C34A6E" w14:textId="77777777" w:rsidR="007B76F7" w:rsidRDefault="00A3762D">
    <w:pPr>
      <w:spacing w:after="0" w:line="259" w:lineRule="auto"/>
      <w:ind w:left="14" w:firstLine="0"/>
    </w:pPr>
    <w:r>
      <w:rPr>
        <w:rFonts w:ascii="Calibri" w:eastAsia="Calibri" w:hAnsi="Calibri" w:cs="Calibri"/>
        <w:b/>
        <w:sz w:val="22"/>
      </w:rPr>
      <w:t xml:space="preserve"> </w:t>
    </w: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8110F" w14:textId="77777777" w:rsidR="00A3762D" w:rsidRDefault="00A3762D">
      <w:pPr>
        <w:spacing w:after="0" w:line="240" w:lineRule="auto"/>
      </w:pPr>
      <w:r>
        <w:separator/>
      </w:r>
    </w:p>
  </w:footnote>
  <w:footnote w:type="continuationSeparator" w:id="0">
    <w:p w14:paraId="774121DD" w14:textId="77777777" w:rsidR="00A3762D" w:rsidRDefault="00A37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422B1" w14:textId="77777777" w:rsidR="007B76F7" w:rsidRDefault="007B76F7">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022FE" w14:textId="77777777" w:rsidR="007B76F7" w:rsidRDefault="00A3762D">
    <w:pPr>
      <w:spacing w:after="0" w:line="259" w:lineRule="auto"/>
      <w:ind w:left="0" w:right="123" w:firstLine="0"/>
      <w:jc w:val="right"/>
    </w:pPr>
    <w:r>
      <w:rPr>
        <w:b/>
      </w:rPr>
      <w:t>FDA/DRI/DER/GL-DOM/2019/13</w:t>
    </w:r>
    <w:r>
      <w:rPr>
        <w:rFonts w:ascii="Calibri" w:eastAsia="Calibri" w:hAnsi="Calibri" w:cs="Calibri"/>
        <w:b/>
        <w:sz w:val="22"/>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B399E" w14:textId="77777777" w:rsidR="007B76F7" w:rsidRDefault="007B76F7">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EA351" w14:textId="77777777" w:rsidR="007B76F7" w:rsidRDefault="00A3762D">
    <w:pPr>
      <w:spacing w:after="0" w:line="259" w:lineRule="auto"/>
      <w:ind w:left="0" w:right="98" w:firstLine="0"/>
      <w:jc w:val="right"/>
    </w:pPr>
    <w:r>
      <w:rPr>
        <w:b/>
      </w:rPr>
      <w:t>FDA/DRI/DER/GL-DOM/2019/13</w:t>
    </w:r>
    <w:r>
      <w:rPr>
        <w:rFonts w:ascii="Calibri" w:eastAsia="Calibri" w:hAnsi="Calibri" w:cs="Calibri"/>
        <w:b/>
        <w:sz w:val="22"/>
      </w:rPr>
      <w:t xml:space="preserve"> </w: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6099B" w14:textId="77777777" w:rsidR="007B76F7" w:rsidRDefault="00A3762D">
    <w:pPr>
      <w:spacing w:after="0" w:line="259" w:lineRule="auto"/>
      <w:ind w:left="0" w:right="98" w:firstLine="0"/>
      <w:jc w:val="right"/>
    </w:pPr>
    <w:r>
      <w:rPr>
        <w:b/>
      </w:rPr>
      <w:t>FDA/DRI/DER/GL-DOM/2019/13</w:t>
    </w:r>
    <w:r>
      <w:rPr>
        <w:rFonts w:ascii="Calibri" w:eastAsia="Calibri" w:hAnsi="Calibri" w:cs="Calibri"/>
        <w:b/>
        <w:sz w:val="22"/>
      </w:rPr>
      <w:t xml:space="preserve"> </w:t>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141FF" w14:textId="77777777" w:rsidR="007B76F7" w:rsidRDefault="00A3762D">
    <w:pPr>
      <w:spacing w:after="0" w:line="259" w:lineRule="auto"/>
      <w:ind w:left="0" w:right="98" w:firstLine="0"/>
      <w:jc w:val="right"/>
    </w:pPr>
    <w:r>
      <w:rPr>
        <w:b/>
      </w:rPr>
      <w:t>FDA/DRI/DER/GL-DOM/2019/13</w:t>
    </w:r>
    <w:r>
      <w:rPr>
        <w:rFonts w:ascii="Calibri" w:eastAsia="Calibri" w:hAnsi="Calibri" w:cs="Calibri"/>
        <w:b/>
        <w:sz w:val="22"/>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94109"/>
    <w:multiLevelType w:val="hybridMultilevel"/>
    <w:tmpl w:val="920EAC28"/>
    <w:lvl w:ilvl="0" w:tplc="29A04A9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D496A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FC6364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39E06E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7ECFC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C88B42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55C695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368A4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2D24D4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F93DA3"/>
    <w:multiLevelType w:val="hybridMultilevel"/>
    <w:tmpl w:val="C9684564"/>
    <w:lvl w:ilvl="0" w:tplc="79F08B44">
      <w:start w:val="1"/>
      <w:numFmt w:val="decimal"/>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E81F42">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F4CB780">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5A3724">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D29CFC">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0D0775C">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60AF5F4">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26C3C2">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8E822EA">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1B87024"/>
    <w:multiLevelType w:val="hybridMultilevel"/>
    <w:tmpl w:val="D7706204"/>
    <w:lvl w:ilvl="0" w:tplc="8A86BCEC">
      <w:start w:val="5"/>
      <w:numFmt w:val="decimal"/>
      <w:lvlText w:val="%1."/>
      <w:lvlJc w:val="left"/>
      <w:pPr>
        <w:ind w:left="2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54114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6C34F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A8FDE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3EAC0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3A4A7A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BD606C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48426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08E99B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CF50963"/>
    <w:multiLevelType w:val="hybridMultilevel"/>
    <w:tmpl w:val="8B8285E6"/>
    <w:lvl w:ilvl="0" w:tplc="60AC42B6">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504352">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DAC2AA">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CE76D8">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6E4106">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9F26E8E">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348056">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FA0A56">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BB2ED42">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FCE26F1"/>
    <w:multiLevelType w:val="hybridMultilevel"/>
    <w:tmpl w:val="33B2A79E"/>
    <w:lvl w:ilvl="0" w:tplc="0100A2FE">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4E87B2">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FC2C6E6">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72E6D6">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BA97F8">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126690">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78CEC3A">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1E3BF8">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44F95E">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153544B"/>
    <w:multiLevelType w:val="hybridMultilevel"/>
    <w:tmpl w:val="270C4200"/>
    <w:lvl w:ilvl="0" w:tplc="7F0A17AC">
      <w:start w:val="1"/>
      <w:numFmt w:val="decimal"/>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349222">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EC6FE02">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C6A8728">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BCCAAE">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F28BB8">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7A2DF4">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5004FC">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72CECE4">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21608E5"/>
    <w:multiLevelType w:val="hybridMultilevel"/>
    <w:tmpl w:val="D13C671E"/>
    <w:lvl w:ilvl="0" w:tplc="7F403180">
      <w:start w:val="1"/>
      <w:numFmt w:val="decimal"/>
      <w:lvlText w:val="%1."/>
      <w:lvlJc w:val="left"/>
      <w:pPr>
        <w:ind w:left="2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BE636C">
      <w:start w:val="1"/>
      <w:numFmt w:val="lowerLetter"/>
      <w:lvlText w:val="%2"/>
      <w:lvlJc w:val="left"/>
      <w:pPr>
        <w:ind w:left="10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5C8EE98">
      <w:start w:val="1"/>
      <w:numFmt w:val="lowerRoman"/>
      <w:lvlText w:val="%3"/>
      <w:lvlJc w:val="left"/>
      <w:pPr>
        <w:ind w:left="18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4C9940">
      <w:start w:val="1"/>
      <w:numFmt w:val="decimal"/>
      <w:lvlText w:val="%4"/>
      <w:lvlJc w:val="left"/>
      <w:pPr>
        <w:ind w:left="25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B05242">
      <w:start w:val="1"/>
      <w:numFmt w:val="lowerLetter"/>
      <w:lvlText w:val="%5"/>
      <w:lvlJc w:val="left"/>
      <w:pPr>
        <w:ind w:left="32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51A6AF8">
      <w:start w:val="1"/>
      <w:numFmt w:val="lowerRoman"/>
      <w:lvlText w:val="%6"/>
      <w:lvlJc w:val="left"/>
      <w:pPr>
        <w:ind w:left="39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E85172">
      <w:start w:val="1"/>
      <w:numFmt w:val="decimal"/>
      <w:lvlText w:val="%7"/>
      <w:lvlJc w:val="left"/>
      <w:pPr>
        <w:ind w:left="46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8412C4">
      <w:start w:val="1"/>
      <w:numFmt w:val="lowerLetter"/>
      <w:lvlText w:val="%8"/>
      <w:lvlJc w:val="left"/>
      <w:pPr>
        <w:ind w:left="54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2249CC">
      <w:start w:val="1"/>
      <w:numFmt w:val="lowerRoman"/>
      <w:lvlText w:val="%9"/>
      <w:lvlJc w:val="left"/>
      <w:pPr>
        <w:ind w:left="61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6"/>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6F7"/>
    <w:rsid w:val="00422A11"/>
    <w:rsid w:val="007B76F7"/>
    <w:rsid w:val="00A37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977FD"/>
  <w15:docId w15:val="{937A814E-1C5D-427F-9080-AA2E76A1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68"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21"/>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21"/>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21"/>
      <w:ind w:left="1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paragraph" w:styleId="TOC1">
    <w:name w:val="toc 1"/>
    <w:hidden/>
    <w:pPr>
      <w:spacing w:after="167" w:line="267" w:lineRule="auto"/>
      <w:ind w:left="54" w:right="27" w:hanging="10"/>
      <w:jc w:val="both"/>
    </w:pPr>
    <w:rPr>
      <w:rFonts w:ascii="Calibri" w:eastAsia="Calibri" w:hAnsi="Calibri" w:cs="Calibri"/>
      <w:color w:val="000000"/>
    </w:rPr>
  </w:style>
  <w:style w:type="paragraph" w:styleId="TOC2">
    <w:name w:val="toc 2"/>
    <w:hidden/>
    <w:pPr>
      <w:spacing w:after="89" w:line="340" w:lineRule="auto"/>
      <w:ind w:left="478" w:right="27" w:hanging="10"/>
      <w:jc w:val="both"/>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1293</Words>
  <Characters>7374</Characters>
  <Application>Microsoft Office Word</Application>
  <DocSecurity>0</DocSecurity>
  <Lines>61</Lines>
  <Paragraphs>17</Paragraphs>
  <ScaleCrop>false</ScaleCrop>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DER02</dc:creator>
  <cp:keywords/>
  <cp:lastModifiedBy>samuel fahren otoo</cp:lastModifiedBy>
  <cp:revision>2</cp:revision>
  <dcterms:created xsi:type="dcterms:W3CDTF">2020-04-05T16:38:00Z</dcterms:created>
  <dcterms:modified xsi:type="dcterms:W3CDTF">2020-04-05T16:38:00Z</dcterms:modified>
</cp:coreProperties>
</file>