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C844" w14:textId="0337B50C" w:rsidR="00CE4DCF" w:rsidRDefault="00826BCD">
      <w:pPr>
        <w:spacing w:after="415" w:line="259" w:lineRule="auto"/>
        <w:ind w:left="1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7F43A" wp14:editId="750A5AA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379220" cy="1399540"/>
            <wp:effectExtent l="0" t="0" r="0" b="0"/>
            <wp:wrapSquare wrapText="bothSides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ACD">
        <w:t xml:space="preserve"> </w:t>
      </w:r>
    </w:p>
    <w:p w14:paraId="798EBB3B" w14:textId="580642A6" w:rsidR="00CE4DCF" w:rsidRDefault="00CE4DCF">
      <w:pPr>
        <w:spacing w:after="501" w:line="259" w:lineRule="auto"/>
        <w:ind w:left="417" w:firstLine="0"/>
        <w:jc w:val="center"/>
      </w:pPr>
    </w:p>
    <w:p w14:paraId="658D93CA" w14:textId="77777777" w:rsidR="00826BCD" w:rsidRDefault="00826BCD">
      <w:pPr>
        <w:spacing w:after="0" w:line="259" w:lineRule="auto"/>
        <w:ind w:left="0" w:right="354" w:firstLine="0"/>
        <w:jc w:val="center"/>
        <w:rPr>
          <w:b/>
          <w:sz w:val="48"/>
        </w:rPr>
      </w:pPr>
    </w:p>
    <w:p w14:paraId="508D18EB" w14:textId="77777777" w:rsidR="00826BCD" w:rsidRDefault="00826BCD">
      <w:pPr>
        <w:spacing w:after="0" w:line="259" w:lineRule="auto"/>
        <w:ind w:left="0" w:right="354" w:firstLine="0"/>
        <w:jc w:val="center"/>
        <w:rPr>
          <w:b/>
          <w:sz w:val="48"/>
        </w:rPr>
      </w:pPr>
    </w:p>
    <w:p w14:paraId="73B1C12A" w14:textId="036B9057" w:rsidR="00CE4DCF" w:rsidRDefault="00262ACD">
      <w:pPr>
        <w:spacing w:after="0" w:line="259" w:lineRule="auto"/>
        <w:ind w:left="0" w:right="354" w:firstLine="0"/>
        <w:jc w:val="center"/>
      </w:pPr>
      <w:r>
        <w:rPr>
          <w:b/>
          <w:sz w:val="48"/>
        </w:rPr>
        <w:t xml:space="preserve">FOOD AND DRUGS AUTHORITY </w:t>
      </w:r>
      <w:r>
        <w:t xml:space="preserve"> </w:t>
      </w:r>
    </w:p>
    <w:p w14:paraId="054C567B" w14:textId="77777777" w:rsidR="00CE4DCF" w:rsidRDefault="00262ACD">
      <w:pPr>
        <w:spacing w:after="0" w:line="259" w:lineRule="auto"/>
        <w:ind w:left="0" w:right="13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5C9E67A7" w14:textId="77777777" w:rsidR="00CE4DCF" w:rsidRDefault="00262ACD">
      <w:pPr>
        <w:spacing w:after="0" w:line="259" w:lineRule="auto"/>
        <w:ind w:left="0" w:right="13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43FB49A2" w14:textId="77777777" w:rsidR="00CE4DCF" w:rsidRDefault="00262ACD">
      <w:pPr>
        <w:spacing w:after="0" w:line="259" w:lineRule="auto"/>
        <w:ind w:left="0" w:right="13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4A4003E5" w14:textId="166970DF" w:rsidR="00CE4DCF" w:rsidRDefault="00262ACD" w:rsidP="00826BCD">
      <w:pPr>
        <w:spacing w:after="0" w:line="259" w:lineRule="auto"/>
        <w:ind w:left="0" w:right="13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14E24DA6" w14:textId="77777777" w:rsidR="00CE4DCF" w:rsidRDefault="00262ACD">
      <w:pPr>
        <w:spacing w:after="104" w:line="259" w:lineRule="auto"/>
        <w:ind w:left="0" w:right="13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48C98A88" w14:textId="77777777" w:rsidR="00CE4DCF" w:rsidRDefault="00262ACD">
      <w:pPr>
        <w:spacing w:after="0" w:line="259" w:lineRule="auto"/>
        <w:ind w:left="10" w:right="346"/>
        <w:jc w:val="center"/>
      </w:pPr>
      <w:r>
        <w:rPr>
          <w:b/>
          <w:sz w:val="40"/>
        </w:rPr>
        <w:t xml:space="preserve">GUIDELINE FOR THE SAFE DISPOSAL   </w:t>
      </w:r>
      <w:r>
        <w:t xml:space="preserve"> </w:t>
      </w:r>
    </w:p>
    <w:p w14:paraId="76D46A34" w14:textId="22BEC39A" w:rsidR="00CE4DCF" w:rsidRDefault="00262ACD">
      <w:pPr>
        <w:spacing w:after="0" w:line="259" w:lineRule="auto"/>
        <w:ind w:left="10" w:right="154"/>
        <w:jc w:val="center"/>
      </w:pPr>
      <w:r>
        <w:rPr>
          <w:b/>
          <w:sz w:val="40"/>
        </w:rPr>
        <w:t xml:space="preserve">OF UNWHOLESOME </w:t>
      </w:r>
      <w:r w:rsidR="00826BCD">
        <w:rPr>
          <w:b/>
          <w:sz w:val="40"/>
        </w:rPr>
        <w:t>FOOD PRODUCTS</w:t>
      </w:r>
      <w:r>
        <w:rPr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4DFB552F" w14:textId="77777777" w:rsidR="00CE4DCF" w:rsidRDefault="00262ACD">
      <w:pPr>
        <w:spacing w:after="2" w:line="443" w:lineRule="auto"/>
        <w:ind w:left="4556" w:right="4729" w:firstLine="0"/>
        <w:jc w:val="both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3DFFD580" w14:textId="77777777" w:rsidR="00CE4DCF" w:rsidRDefault="00262ACD">
      <w:pPr>
        <w:spacing w:after="2" w:line="443" w:lineRule="auto"/>
        <w:ind w:left="4556" w:right="4729" w:firstLine="0"/>
        <w:jc w:val="both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1AAE58C8" w14:textId="77777777" w:rsidR="00CE4DCF" w:rsidRDefault="00262ACD">
      <w:pPr>
        <w:spacing w:after="216" w:line="259" w:lineRule="auto"/>
        <w:ind w:left="0" w:right="17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D90BCDC" w14:textId="77777777" w:rsidR="00CE4DCF" w:rsidRDefault="00262ACD">
      <w:pPr>
        <w:spacing w:after="2" w:line="443" w:lineRule="auto"/>
        <w:ind w:left="4556" w:right="4729" w:firstLine="0"/>
        <w:jc w:val="both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24AA1359" w14:textId="77777777" w:rsidR="00CE4DCF" w:rsidRDefault="00262ACD">
      <w:pPr>
        <w:spacing w:after="2" w:line="443" w:lineRule="auto"/>
        <w:ind w:left="4556" w:right="4729" w:firstLine="0"/>
        <w:jc w:val="both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2BB5057D" w14:textId="77777777" w:rsidR="00CE4DCF" w:rsidRDefault="00262ACD">
      <w:pPr>
        <w:spacing w:after="43" w:line="259" w:lineRule="auto"/>
        <w:ind w:left="0" w:right="17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AA0632D" w14:textId="77777777" w:rsidR="00CE4DCF" w:rsidRDefault="00262ACD">
      <w:pPr>
        <w:spacing w:after="13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F8A917" wp14:editId="257BDA2F">
                <wp:extent cx="5924550" cy="57150"/>
                <wp:effectExtent l="0" t="0" r="0" b="0"/>
                <wp:docPr id="3497" name="Group 3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57150"/>
                          <a:chOff x="0" y="0"/>
                          <a:chExt cx="5924550" cy="57150"/>
                        </a:xfrm>
                      </wpg:grpSpPr>
                      <wps:wsp>
                        <wps:cNvPr id="4353" name="Shape 4353"/>
                        <wps:cNvSpPr/>
                        <wps:spPr>
                          <a:xfrm>
                            <a:off x="0" y="45720"/>
                            <a:ext cx="59245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11430">
                                <a:moveTo>
                                  <a:pt x="0" y="0"/>
                                </a:moveTo>
                                <a:lnTo>
                                  <a:pt x="5924550" y="0"/>
                                </a:lnTo>
                                <a:lnTo>
                                  <a:pt x="592455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4" name="Shape 4354"/>
                        <wps:cNvSpPr/>
                        <wps:spPr>
                          <a:xfrm>
                            <a:off x="0" y="0"/>
                            <a:ext cx="592455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34290">
                                <a:moveTo>
                                  <a:pt x="0" y="0"/>
                                </a:moveTo>
                                <a:lnTo>
                                  <a:pt x="5924550" y="0"/>
                                </a:lnTo>
                                <a:lnTo>
                                  <a:pt x="592455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7" style="width:466.5pt;height:4.5pt;mso-position-horizontal-relative:char;mso-position-vertical-relative:line" coordsize="59245,571">
                <v:shape id="Shape 4355" style="position:absolute;width:59245;height:114;left:0;top:457;" coordsize="5924550,11430" path="m0,0l5924550,0l5924550,11430l0,11430l0,0">
                  <v:stroke weight="0pt" endcap="flat" joinstyle="miter" miterlimit="10" on="false" color="#000000" opacity="0"/>
                  <v:fill on="true" color="#993300"/>
                </v:shape>
                <v:shape id="Shape 4356" style="position:absolute;width:59245;height:342;left:0;top:0;" coordsize="5924550,34290" path="m0,0l5924550,0l5924550,34290l0,34290l0,0">
                  <v:stroke weight="0pt" endcap="flat" joinstyle="miter" miterlimit="10" on="false" color="#000000" opacity="0"/>
                  <v:fill on="true" color="#993300"/>
                </v:shape>
              </v:group>
            </w:pict>
          </mc:Fallback>
        </mc:AlternateContent>
      </w:r>
      <w:r>
        <w:t xml:space="preserve"> </w:t>
      </w:r>
    </w:p>
    <w:p w14:paraId="56099C39" w14:textId="77777777" w:rsidR="00CE4DCF" w:rsidRDefault="00262ACD">
      <w:pPr>
        <w:tabs>
          <w:tab w:val="center" w:pos="2174"/>
          <w:tab w:val="center" w:pos="4304"/>
        </w:tabs>
        <w:spacing w:after="57" w:line="259" w:lineRule="auto"/>
        <w:ind w:left="0" w:firstLine="0"/>
      </w:pPr>
      <w:r>
        <w:rPr>
          <w:rFonts w:ascii="Cambria" w:eastAsia="Cambria" w:hAnsi="Cambria" w:cs="Cambria"/>
          <w:b/>
        </w:rPr>
        <w:t xml:space="preserve">Document </w:t>
      </w:r>
      <w:proofErr w:type="gramStart"/>
      <w:r>
        <w:rPr>
          <w:rFonts w:ascii="Cambria" w:eastAsia="Cambria" w:hAnsi="Cambria" w:cs="Cambria"/>
          <w:b/>
        </w:rPr>
        <w:t xml:space="preserve">No.  </w:t>
      </w:r>
      <w:r>
        <w:rPr>
          <w:rFonts w:ascii="Cambria" w:eastAsia="Cambria" w:hAnsi="Cambria" w:cs="Cambria"/>
          <w:b/>
        </w:rPr>
        <w:tab/>
      </w:r>
      <w:proofErr w:type="gramEnd"/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</w:rPr>
        <w:tab/>
        <w:t xml:space="preserve">: </w:t>
      </w:r>
      <w:r>
        <w:t>FDA/FID/GL-DFP/2013/04</w:t>
      </w:r>
      <w:r>
        <w:rPr>
          <w:b/>
        </w:rPr>
        <w:t xml:space="preserve"> </w:t>
      </w:r>
      <w:r>
        <w:t xml:space="preserve"> </w:t>
      </w:r>
    </w:p>
    <w:p w14:paraId="6FF1FB5B" w14:textId="77777777" w:rsidR="00826BCD" w:rsidRDefault="00262ACD">
      <w:pPr>
        <w:spacing w:after="0" w:line="323" w:lineRule="auto"/>
        <w:ind w:left="0" w:right="3927" w:firstLine="0"/>
      </w:pPr>
      <w:r>
        <w:rPr>
          <w:rFonts w:ascii="Cambria" w:eastAsia="Cambria" w:hAnsi="Cambria" w:cs="Cambria"/>
          <w:b/>
        </w:rPr>
        <w:t xml:space="preserve">Date of First </w:t>
      </w:r>
      <w:proofErr w:type="gramStart"/>
      <w:r>
        <w:rPr>
          <w:rFonts w:ascii="Cambria" w:eastAsia="Cambria" w:hAnsi="Cambria" w:cs="Cambria"/>
          <w:b/>
        </w:rPr>
        <w:t xml:space="preserve">Adoption  </w:t>
      </w:r>
      <w:r>
        <w:rPr>
          <w:rFonts w:ascii="Cambria" w:eastAsia="Cambria" w:hAnsi="Cambria" w:cs="Cambria"/>
          <w:b/>
        </w:rPr>
        <w:tab/>
      </w:r>
      <w:proofErr w:type="gramEnd"/>
      <w:r>
        <w:rPr>
          <w:rFonts w:ascii="Cambria" w:eastAsia="Cambria" w:hAnsi="Cambria" w:cs="Cambria"/>
        </w:rPr>
        <w:t>: 1</w:t>
      </w:r>
      <w:r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February 2013 </w:t>
      </w:r>
      <w:r>
        <w:t xml:space="preserve"> </w:t>
      </w:r>
    </w:p>
    <w:p w14:paraId="64278717" w14:textId="0FBB6A80" w:rsidR="00826BCD" w:rsidRDefault="00262ACD">
      <w:pPr>
        <w:spacing w:after="0" w:line="323" w:lineRule="auto"/>
        <w:ind w:left="0" w:right="3927" w:firstLine="0"/>
      </w:pPr>
      <w:r>
        <w:rPr>
          <w:rFonts w:ascii="Cambria" w:eastAsia="Cambria" w:hAnsi="Cambria" w:cs="Cambria"/>
          <w:b/>
        </w:rPr>
        <w:t xml:space="preserve">Date of Issue   </w:t>
      </w:r>
      <w:proofErr w:type="gramStart"/>
      <w:r>
        <w:rPr>
          <w:rFonts w:ascii="Cambria" w:eastAsia="Cambria" w:hAnsi="Cambria" w:cs="Cambria"/>
          <w:b/>
        </w:rPr>
        <w:tab/>
        <w:t xml:space="preserve">  </w:t>
      </w:r>
      <w:r>
        <w:rPr>
          <w:rFonts w:ascii="Cambria" w:eastAsia="Cambria" w:hAnsi="Cambria" w:cs="Cambria"/>
          <w:b/>
        </w:rPr>
        <w:tab/>
      </w:r>
      <w:proofErr w:type="gramEnd"/>
      <w:r>
        <w:rPr>
          <w:rFonts w:ascii="Cambria" w:eastAsia="Cambria" w:hAnsi="Cambria" w:cs="Cambria"/>
        </w:rPr>
        <w:t>: 1</w:t>
      </w:r>
      <w:r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March 2013 </w:t>
      </w:r>
      <w:r>
        <w:t xml:space="preserve"> </w:t>
      </w:r>
      <w:r>
        <w:rPr>
          <w:rFonts w:ascii="Cambria" w:eastAsia="Cambria" w:hAnsi="Cambria" w:cs="Cambria"/>
          <w:b/>
        </w:rPr>
        <w:t xml:space="preserve">Version No.     </w:t>
      </w:r>
      <w:r w:rsidR="00826BCD">
        <w:rPr>
          <w:rFonts w:ascii="Cambria" w:eastAsia="Cambria" w:hAnsi="Cambria" w:cs="Cambria"/>
          <w:b/>
        </w:rPr>
        <w:t xml:space="preserve">                         </w:t>
      </w:r>
      <w:r>
        <w:rPr>
          <w:rFonts w:ascii="Cambria" w:eastAsia="Cambria" w:hAnsi="Cambria" w:cs="Cambria"/>
        </w:rPr>
        <w:t>: 01</w:t>
      </w:r>
      <w:r>
        <w:t xml:space="preserve">  </w:t>
      </w:r>
      <w:r>
        <w:rPr>
          <w:b/>
        </w:rPr>
        <w:t xml:space="preserve"> </w:t>
      </w:r>
      <w:r>
        <w:t xml:space="preserve"> </w:t>
      </w:r>
    </w:p>
    <w:p w14:paraId="6937C596" w14:textId="77777777" w:rsidR="00826BCD" w:rsidRDefault="00826BCD">
      <w:pPr>
        <w:spacing w:after="0" w:line="323" w:lineRule="auto"/>
        <w:ind w:left="0" w:right="3927" w:firstLine="0"/>
      </w:pPr>
    </w:p>
    <w:p w14:paraId="7FAC39F8" w14:textId="77777777" w:rsidR="00826BCD" w:rsidRDefault="00826BCD">
      <w:pPr>
        <w:spacing w:after="0" w:line="323" w:lineRule="auto"/>
        <w:ind w:left="0" w:right="3927" w:firstLine="0"/>
      </w:pPr>
    </w:p>
    <w:p w14:paraId="5AFAAB6C" w14:textId="77777777" w:rsidR="00826BCD" w:rsidRDefault="00826BCD">
      <w:pPr>
        <w:spacing w:after="0" w:line="323" w:lineRule="auto"/>
        <w:ind w:left="0" w:right="3927" w:firstLine="0"/>
      </w:pPr>
    </w:p>
    <w:p w14:paraId="5A76B640" w14:textId="77777777" w:rsidR="00826BCD" w:rsidRDefault="00826BCD">
      <w:pPr>
        <w:spacing w:after="0" w:line="323" w:lineRule="auto"/>
        <w:ind w:left="0" w:right="3927" w:firstLine="0"/>
      </w:pPr>
    </w:p>
    <w:p w14:paraId="3F397861" w14:textId="77777777" w:rsidR="00826BCD" w:rsidRDefault="00826BCD">
      <w:pPr>
        <w:spacing w:after="0" w:line="323" w:lineRule="auto"/>
        <w:ind w:left="0" w:right="3927" w:firstLine="0"/>
      </w:pPr>
    </w:p>
    <w:p w14:paraId="1BB73F1C" w14:textId="77777777" w:rsidR="00826BCD" w:rsidRDefault="00826BCD">
      <w:pPr>
        <w:spacing w:after="0" w:line="323" w:lineRule="auto"/>
        <w:ind w:left="0" w:right="3927" w:firstLine="0"/>
      </w:pPr>
    </w:p>
    <w:p w14:paraId="7EF5421F" w14:textId="77777777" w:rsidR="00826BCD" w:rsidRDefault="00826BCD">
      <w:pPr>
        <w:spacing w:after="0" w:line="323" w:lineRule="auto"/>
        <w:ind w:left="0" w:right="3927" w:firstLine="0"/>
      </w:pPr>
    </w:p>
    <w:p w14:paraId="0BE91A39" w14:textId="77777777" w:rsidR="00826BCD" w:rsidRDefault="00826BCD">
      <w:pPr>
        <w:spacing w:after="0" w:line="323" w:lineRule="auto"/>
        <w:ind w:left="0" w:right="3927" w:firstLine="0"/>
      </w:pPr>
    </w:p>
    <w:p w14:paraId="725CAE16" w14:textId="77777777" w:rsidR="00826BCD" w:rsidRDefault="00826BCD">
      <w:pPr>
        <w:spacing w:after="0" w:line="323" w:lineRule="auto"/>
        <w:ind w:left="0" w:right="3927" w:firstLine="0"/>
        <w:rPr>
          <w:b/>
          <w:sz w:val="28"/>
        </w:rPr>
      </w:pPr>
    </w:p>
    <w:p w14:paraId="60245C4B" w14:textId="77777777" w:rsidR="00826BCD" w:rsidRDefault="00826BCD">
      <w:pPr>
        <w:spacing w:after="0" w:line="323" w:lineRule="auto"/>
        <w:ind w:left="0" w:right="3927" w:firstLine="0"/>
        <w:rPr>
          <w:b/>
          <w:sz w:val="28"/>
        </w:rPr>
      </w:pPr>
    </w:p>
    <w:p w14:paraId="49BB1F9B" w14:textId="688F650C" w:rsidR="00CE4DCF" w:rsidRDefault="00262ACD">
      <w:pPr>
        <w:spacing w:after="0" w:line="323" w:lineRule="auto"/>
        <w:ind w:left="0" w:right="3927" w:firstLine="0"/>
      </w:pPr>
      <w:bookmarkStart w:id="0" w:name="_GoBack"/>
      <w:bookmarkEnd w:id="0"/>
      <w:r>
        <w:rPr>
          <w:b/>
          <w:sz w:val="28"/>
        </w:rPr>
        <w:lastRenderedPageBreak/>
        <w:t xml:space="preserve">TABLE OF CONTENT </w:t>
      </w:r>
      <w:r>
        <w:t xml:space="preserve"> </w:t>
      </w:r>
    </w:p>
    <w:p w14:paraId="2AB8628A" w14:textId="77777777" w:rsidR="00CE4DCF" w:rsidRDefault="00262ACD">
      <w:pPr>
        <w:spacing w:after="33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dt>
      <w:sdtPr>
        <w:id w:val="-1623447952"/>
        <w:docPartObj>
          <w:docPartGallery w:val="Table of Contents"/>
        </w:docPartObj>
      </w:sdtPr>
      <w:sdtEndPr/>
      <w:sdtContent>
        <w:p w14:paraId="7EA90AD1" w14:textId="77777777" w:rsidR="00CE4DCF" w:rsidRDefault="00262ACD">
          <w:pPr>
            <w:pStyle w:val="TOC1"/>
            <w:tabs>
              <w:tab w:val="right" w:leader="dot" w:pos="9405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322">
            <w:r>
              <w:t>INTRODUCTION</w:t>
            </w:r>
            <w:r>
              <w:tab/>
            </w:r>
            <w:r>
              <w:fldChar w:fldCharType="begin"/>
            </w:r>
            <w:r>
              <w:instrText>PAGEREF _Toc4322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14:paraId="3610E717" w14:textId="77777777" w:rsidR="00CE4DCF" w:rsidRDefault="00262ACD">
          <w:pPr>
            <w:pStyle w:val="TOC1"/>
            <w:tabs>
              <w:tab w:val="right" w:leader="dot" w:pos="9405"/>
            </w:tabs>
          </w:pPr>
          <w:hyperlink w:anchor="_Toc4323">
            <w:r>
              <w:t>1.  GLOSSARY</w:t>
            </w:r>
            <w:r>
              <w:tab/>
            </w:r>
            <w:r>
              <w:fldChar w:fldCharType="begin"/>
            </w:r>
            <w:r>
              <w:instrText>PAGEREF _Toc4323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14:paraId="417E3E3D" w14:textId="77777777" w:rsidR="00CE4DCF" w:rsidRDefault="00262ACD">
          <w:pPr>
            <w:pStyle w:val="TOC1"/>
            <w:tabs>
              <w:tab w:val="right" w:leader="dot" w:pos="9405"/>
            </w:tabs>
          </w:pPr>
          <w:hyperlink w:anchor="_Toc4324">
            <w:r>
              <w:t>2.  REQUIREMENTS</w:t>
            </w:r>
            <w:r>
              <w:tab/>
            </w:r>
            <w:r>
              <w:fldChar w:fldCharType="begin"/>
            </w:r>
            <w:r>
              <w:instrText>PAGEREF _Toc4324 \h</w:instrText>
            </w:r>
            <w:r>
              <w:fldChar w:fldCharType="separate"/>
            </w:r>
            <w:r>
              <w:t>5</w:t>
            </w:r>
            <w:r>
              <w:t xml:space="preserve"> </w:t>
            </w:r>
            <w:r>
              <w:fldChar w:fldCharType="end"/>
            </w:r>
          </w:hyperlink>
        </w:p>
        <w:p w14:paraId="23267EAE" w14:textId="77777777" w:rsidR="00CE4DCF" w:rsidRDefault="00262ACD">
          <w:pPr>
            <w:pStyle w:val="TOC2"/>
            <w:tabs>
              <w:tab w:val="right" w:leader="dot" w:pos="9405"/>
            </w:tabs>
          </w:pPr>
          <w:hyperlink w:anchor="_Toc4325">
            <w:r>
              <w:t>3.1.  GENERAL REQUIREMENTS</w:t>
            </w:r>
            <w:r>
              <w:tab/>
            </w:r>
            <w:r>
              <w:fldChar w:fldCharType="begin"/>
            </w:r>
            <w:r>
              <w:instrText>PAGEREF _Toc4325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16D6AEDB" w14:textId="77777777" w:rsidR="00CE4DCF" w:rsidRDefault="00262ACD">
          <w:pPr>
            <w:pStyle w:val="TOC2"/>
            <w:tabs>
              <w:tab w:val="right" w:leader="dot" w:pos="9405"/>
            </w:tabs>
          </w:pPr>
          <w:hyperlink w:anchor="_Toc4326">
            <w:r>
              <w:t>3.2.  SPECIFIC REQUIREM</w:t>
            </w:r>
            <w:r>
              <w:t>ENTS</w:t>
            </w:r>
            <w:r>
              <w:tab/>
            </w:r>
            <w:r>
              <w:fldChar w:fldCharType="begin"/>
            </w:r>
            <w:r>
              <w:instrText>PAGEREF _Toc4326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44FED2A3" w14:textId="77777777" w:rsidR="00CE4DCF" w:rsidRDefault="00262ACD">
          <w:pPr>
            <w:pStyle w:val="TOC1"/>
            <w:tabs>
              <w:tab w:val="right" w:leader="dot" w:pos="9405"/>
            </w:tabs>
          </w:pPr>
          <w:hyperlink w:anchor="_Toc4327">
            <w:r>
              <w:t>4.  SANCTIONS</w:t>
            </w:r>
            <w:r>
              <w:tab/>
            </w:r>
            <w:r>
              <w:fldChar w:fldCharType="begin"/>
            </w:r>
            <w:r>
              <w:instrText>PAGEREF _Toc4327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14:paraId="7EE39133" w14:textId="77777777" w:rsidR="00CE4DCF" w:rsidRDefault="00262ACD">
          <w:pPr>
            <w:pStyle w:val="TOC1"/>
            <w:tabs>
              <w:tab w:val="right" w:leader="dot" w:pos="9405"/>
            </w:tabs>
          </w:pPr>
          <w:hyperlink w:anchor="_Toc4328">
            <w:r>
              <w:t>5.  P</w:t>
            </w:r>
            <w:r>
              <w:t>ENALTIES</w:t>
            </w:r>
            <w:r>
              <w:tab/>
            </w:r>
            <w:r>
              <w:fldChar w:fldCharType="begin"/>
            </w:r>
            <w:r>
              <w:instrText>PAGEREF _Toc4328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14:paraId="7B46577F" w14:textId="77777777" w:rsidR="00CE4DCF" w:rsidRDefault="00262ACD">
          <w:r>
            <w:fldChar w:fldCharType="end"/>
          </w:r>
        </w:p>
      </w:sdtContent>
    </w:sdt>
    <w:p w14:paraId="54979AA5" w14:textId="77777777" w:rsidR="00CE4DCF" w:rsidRDefault="00262ACD">
      <w:pPr>
        <w:spacing w:after="115" w:line="259" w:lineRule="auto"/>
        <w:ind w:left="14" w:firstLine="0"/>
      </w:pPr>
      <w:r>
        <w:t xml:space="preserve"> </w:t>
      </w:r>
    </w:p>
    <w:p w14:paraId="5714A15A" w14:textId="77777777" w:rsidR="00CE4DCF" w:rsidRDefault="00262ACD">
      <w:pPr>
        <w:spacing w:after="0" w:line="259" w:lineRule="auto"/>
        <w:ind w:firstLine="0"/>
      </w:pPr>
      <w:r>
        <w:t xml:space="preserve"> </w:t>
      </w:r>
      <w:r>
        <w:tab/>
        <w:t xml:space="preserve"> </w:t>
      </w:r>
      <w:r>
        <w:br w:type="page"/>
      </w:r>
    </w:p>
    <w:p w14:paraId="4D7EEBBC" w14:textId="77777777" w:rsidR="00CE4DCF" w:rsidRDefault="00262ACD">
      <w:pPr>
        <w:pStyle w:val="Heading1"/>
        <w:ind w:left="-5"/>
      </w:pPr>
      <w:bookmarkStart w:id="1" w:name="_Toc4322"/>
      <w:r>
        <w:lastRenderedPageBreak/>
        <w:t xml:space="preserve">INTRODUCTION  </w:t>
      </w:r>
      <w:bookmarkEnd w:id="1"/>
    </w:p>
    <w:p w14:paraId="192676AC" w14:textId="77777777" w:rsidR="00CE4DCF" w:rsidRDefault="00262ACD">
      <w:pPr>
        <w:spacing w:after="16" w:line="259" w:lineRule="auto"/>
        <w:ind w:left="374" w:firstLine="0"/>
      </w:pPr>
      <w:r>
        <w:t xml:space="preserve">  </w:t>
      </w:r>
    </w:p>
    <w:p w14:paraId="73A3631F" w14:textId="77777777" w:rsidR="00CE4DCF" w:rsidRDefault="00262ACD">
      <w:pPr>
        <w:spacing w:line="357" w:lineRule="auto"/>
        <w:ind w:left="355" w:right="336"/>
        <w:jc w:val="both"/>
      </w:pPr>
      <w:r>
        <w:t xml:space="preserve">In exercise of the powers conferred on the Food and Drugs Authority (FDA) by Part Seven, </w:t>
      </w:r>
      <w:r>
        <w:rPr>
          <w:sz w:val="22"/>
        </w:rPr>
        <w:t xml:space="preserve">Section 148 of </w:t>
      </w:r>
      <w:r>
        <w:t>the Public Health Act, 2012</w:t>
      </w:r>
      <w:r>
        <w:t>,</w:t>
      </w:r>
      <w:r>
        <w:rPr>
          <w:sz w:val="22"/>
        </w:rPr>
        <w:t xml:space="preserve"> (Act 851), </w:t>
      </w:r>
      <w:r>
        <w:t xml:space="preserve">this guideline applies to the safe disposal of food products that are unwholesome for both human and animal consumption.  </w:t>
      </w:r>
    </w:p>
    <w:p w14:paraId="5E1E96C5" w14:textId="77777777" w:rsidR="00CE4DCF" w:rsidRDefault="00262ACD">
      <w:pPr>
        <w:spacing w:after="112" w:line="259" w:lineRule="auto"/>
        <w:ind w:left="374" w:firstLine="0"/>
      </w:pPr>
      <w:r>
        <w:t xml:space="preserve">  </w:t>
      </w:r>
    </w:p>
    <w:p w14:paraId="568ADCCE" w14:textId="77777777" w:rsidR="00CE4DCF" w:rsidRDefault="00262ACD">
      <w:pPr>
        <w:spacing w:after="0" w:line="361" w:lineRule="auto"/>
        <w:ind w:left="355" w:right="327"/>
        <w:jc w:val="both"/>
      </w:pPr>
      <w:r>
        <w:t xml:space="preserve">The purpose of this guideline is to ensure that unwholesome food products are properly disposed </w:t>
      </w:r>
      <w:proofErr w:type="spellStart"/>
      <w:r>
        <w:t>off</w:t>
      </w:r>
      <w:proofErr w:type="spellEnd"/>
      <w:r>
        <w:t xml:space="preserve"> to prevent its re</w:t>
      </w:r>
      <w:r>
        <w:t xml:space="preserve">-entry into the food supply chain. It </w:t>
      </w:r>
      <w:r>
        <w:rPr>
          <w:sz w:val="22"/>
        </w:rPr>
        <w:t xml:space="preserve">also provides a comprehensive procedure for bringing the </w:t>
      </w:r>
      <w:proofErr w:type="gramStart"/>
      <w:r>
        <w:rPr>
          <w:sz w:val="22"/>
        </w:rPr>
        <w:t>activities  of</w:t>
      </w:r>
      <w:proofErr w:type="gramEnd"/>
      <w:r>
        <w:rPr>
          <w:sz w:val="22"/>
        </w:rPr>
        <w:t xml:space="preserve"> food manufacturers, processors, producers, wholesalers, retailers, importers and exporters, having unwholesome food products, into compliance with</w:t>
      </w:r>
      <w:r>
        <w:rPr>
          <w:sz w:val="22"/>
        </w:rPr>
        <w:t xml:space="preserve"> Part Seven, Section 132 subsection 2 &amp; 3 of  Public Health Act, 2012, (Act 851)</w:t>
      </w:r>
      <w:r>
        <w:t xml:space="preserve">.  </w:t>
      </w:r>
    </w:p>
    <w:p w14:paraId="2845B17D" w14:textId="77777777" w:rsidR="00CE4DCF" w:rsidRDefault="00262ACD">
      <w:pPr>
        <w:spacing w:after="110" w:line="259" w:lineRule="auto"/>
        <w:ind w:left="374" w:firstLine="0"/>
      </w:pPr>
      <w:r>
        <w:t xml:space="preserve">  </w:t>
      </w:r>
    </w:p>
    <w:p w14:paraId="14B6DC68" w14:textId="77777777" w:rsidR="00CE4DCF" w:rsidRDefault="00262ACD">
      <w:pPr>
        <w:ind w:left="355"/>
      </w:pPr>
      <w:r>
        <w:t xml:space="preserve">This guideline is hereby promulgated for information, guidance and strict compliance by all concerned.  </w:t>
      </w:r>
    </w:p>
    <w:p w14:paraId="46324D02" w14:textId="77777777" w:rsidR="00CE4DCF" w:rsidRDefault="00262ACD">
      <w:pPr>
        <w:spacing w:line="259" w:lineRule="auto"/>
        <w:ind w:left="744"/>
      </w:pPr>
      <w:r>
        <w:t xml:space="preserve">.  </w:t>
      </w:r>
    </w:p>
    <w:p w14:paraId="12C12DA8" w14:textId="77777777" w:rsidR="00CE4DCF" w:rsidRDefault="00262ACD">
      <w:pPr>
        <w:spacing w:after="0" w:line="259" w:lineRule="auto"/>
        <w:ind w:left="734" w:firstLine="0"/>
      </w:pP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br w:type="page"/>
      </w:r>
    </w:p>
    <w:p w14:paraId="1801370A" w14:textId="77777777" w:rsidR="00CE4DCF" w:rsidRDefault="00262ACD">
      <w:pPr>
        <w:pStyle w:val="Heading1"/>
        <w:ind w:left="-5"/>
      </w:pPr>
      <w:bookmarkStart w:id="2" w:name="_Toc4323"/>
      <w:r>
        <w:rPr>
          <w:sz w:val="24"/>
        </w:rPr>
        <w:lastRenderedPageBreak/>
        <w:t>1.</w:t>
      </w:r>
      <w:r>
        <w:rPr>
          <w:rFonts w:ascii="Arial" w:eastAsia="Arial" w:hAnsi="Arial" w:cs="Arial"/>
          <w:sz w:val="24"/>
        </w:rPr>
        <w:t xml:space="preserve"> </w:t>
      </w:r>
      <w:r>
        <w:t>GLOSSARY</w:t>
      </w:r>
      <w:r>
        <w:rPr>
          <w:b w:val="0"/>
          <w:color w:val="365F91"/>
          <w:sz w:val="24"/>
        </w:rPr>
        <w:t xml:space="preserve"> </w:t>
      </w:r>
      <w:r>
        <w:t xml:space="preserve"> </w:t>
      </w:r>
      <w:bookmarkEnd w:id="2"/>
    </w:p>
    <w:p w14:paraId="01A9262C" w14:textId="77777777" w:rsidR="00CE4DCF" w:rsidRDefault="00262ACD">
      <w:pPr>
        <w:spacing w:after="25" w:line="259" w:lineRule="auto"/>
        <w:ind w:left="734" w:firstLine="0"/>
      </w:pPr>
      <w:r>
        <w:rPr>
          <w:b/>
          <w:i/>
        </w:rPr>
        <w:t xml:space="preserve"> </w:t>
      </w:r>
      <w:r>
        <w:t xml:space="preserve"> </w:t>
      </w:r>
    </w:p>
    <w:p w14:paraId="512A078D" w14:textId="77777777" w:rsidR="00CE4DCF" w:rsidRDefault="00262ACD">
      <w:pPr>
        <w:ind w:left="744"/>
      </w:pPr>
      <w:r>
        <w:rPr>
          <w:b/>
          <w:i/>
        </w:rPr>
        <w:t xml:space="preserve">‘Unwholesome food’ </w:t>
      </w:r>
      <w:r>
        <w:t>means</w:t>
      </w:r>
      <w:r>
        <w:rPr>
          <w:b/>
          <w:i/>
        </w:rPr>
        <w:t xml:space="preserve"> </w:t>
      </w:r>
      <w:r>
        <w:t xml:space="preserve">any food product that when consumed can be injurious to health of the consumer.  </w:t>
      </w:r>
    </w:p>
    <w:p w14:paraId="54709473" w14:textId="77777777" w:rsidR="00CE4DCF" w:rsidRDefault="00262ACD">
      <w:pPr>
        <w:ind w:left="744"/>
      </w:pPr>
      <w:r>
        <w:rPr>
          <w:b/>
          <w:i/>
        </w:rPr>
        <w:t xml:space="preserve">‘Destruction’ </w:t>
      </w:r>
      <w:r>
        <w:t>means the safe</w:t>
      </w:r>
      <w:r>
        <w:rPr>
          <w:b/>
          <w:i/>
        </w:rPr>
        <w:t xml:space="preserve"> </w:t>
      </w:r>
      <w:r>
        <w:t>disposal of any unwholesome food product beyond retrieval.</w:t>
      </w:r>
      <w:r>
        <w:rPr>
          <w:b/>
          <w:i/>
        </w:rPr>
        <w:t xml:space="preserve">  </w:t>
      </w:r>
      <w:r>
        <w:rPr>
          <w:b/>
          <w:i/>
        </w:rPr>
        <w:tab/>
        <w:t xml:space="preserve">             </w:t>
      </w:r>
      <w:r>
        <w:t xml:space="preserve"> </w:t>
      </w:r>
    </w:p>
    <w:p w14:paraId="7DFBD81D" w14:textId="77777777" w:rsidR="00CE4DCF" w:rsidRDefault="00262ACD">
      <w:pPr>
        <w:ind w:left="744" w:right="160"/>
      </w:pPr>
      <w:r>
        <w:rPr>
          <w:b/>
          <w:i/>
        </w:rPr>
        <w:t xml:space="preserve">‘Voluntary destruction’ </w:t>
      </w:r>
      <w:r>
        <w:t>means any destruction carried out whereby the</w:t>
      </w:r>
      <w:r>
        <w:t xml:space="preserve"> applicant or owner of the unwholesome food products deliberately or took the initiative to inform the FDA of his intention to dispose </w:t>
      </w:r>
      <w:proofErr w:type="spellStart"/>
      <w:r>
        <w:t>off</w:t>
      </w:r>
      <w:proofErr w:type="spellEnd"/>
      <w:r>
        <w:t xml:space="preserve"> the products.    </w:t>
      </w:r>
    </w:p>
    <w:p w14:paraId="419ED6A8" w14:textId="77777777" w:rsidR="00CE4DCF" w:rsidRDefault="00262ACD">
      <w:pPr>
        <w:ind w:left="744"/>
      </w:pPr>
      <w:r>
        <w:rPr>
          <w:b/>
          <w:i/>
        </w:rPr>
        <w:t>‘Mandatory destruction’</w:t>
      </w:r>
      <w:r>
        <w:t xml:space="preserve"> means any destruction carried out whereby the applicant or owner of the unw</w:t>
      </w:r>
      <w:r>
        <w:t xml:space="preserve">holesome food products is required by law (binding) or obligated to dispose </w:t>
      </w:r>
      <w:proofErr w:type="spellStart"/>
      <w:r>
        <w:t>off</w:t>
      </w:r>
      <w:proofErr w:type="spellEnd"/>
      <w:r>
        <w:t xml:space="preserve"> the products under the directive of the Food and Drugs Authority.    </w:t>
      </w:r>
    </w:p>
    <w:p w14:paraId="059DCA45" w14:textId="77777777" w:rsidR="00CE4DCF" w:rsidRDefault="00262ACD">
      <w:pPr>
        <w:spacing w:after="14" w:line="259" w:lineRule="auto"/>
        <w:ind w:left="14" w:firstLine="0"/>
      </w:pPr>
      <w:r>
        <w:t xml:space="preserve">  </w:t>
      </w:r>
    </w:p>
    <w:p w14:paraId="11656760" w14:textId="77777777" w:rsidR="00CE4DCF" w:rsidRDefault="00262ACD">
      <w:pPr>
        <w:spacing w:after="0" w:line="259" w:lineRule="auto"/>
        <w:ind w:left="734" w:firstLine="0"/>
      </w:pPr>
      <w:r>
        <w:t xml:space="preserve">  </w:t>
      </w:r>
      <w:r>
        <w:tab/>
        <w:t xml:space="preserve"> </w:t>
      </w:r>
      <w:r>
        <w:br w:type="page"/>
      </w:r>
    </w:p>
    <w:p w14:paraId="7A3B8B17" w14:textId="77777777" w:rsidR="00CE4DCF" w:rsidRDefault="00262ACD">
      <w:pPr>
        <w:pStyle w:val="Heading1"/>
        <w:spacing w:after="187"/>
        <w:ind w:left="-5"/>
      </w:pPr>
      <w:bookmarkStart w:id="3" w:name="_Toc4324"/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REQUIREMENTS  </w:t>
      </w:r>
      <w:bookmarkEnd w:id="3"/>
    </w:p>
    <w:p w14:paraId="5953DA8E" w14:textId="77777777" w:rsidR="00CE4DCF" w:rsidRDefault="00262ACD">
      <w:pPr>
        <w:pStyle w:val="Heading2"/>
        <w:ind w:left="-5"/>
      </w:pPr>
      <w:bookmarkStart w:id="4" w:name="_Toc4325"/>
      <w:r>
        <w:t>3.1.</w:t>
      </w:r>
      <w:r>
        <w:rPr>
          <w:rFonts w:ascii="Arial" w:eastAsia="Arial" w:hAnsi="Arial" w:cs="Arial"/>
        </w:rPr>
        <w:t xml:space="preserve">  </w:t>
      </w:r>
      <w:r>
        <w:t xml:space="preserve">GENERAL REQUIREMENTS  </w:t>
      </w:r>
      <w:bookmarkEnd w:id="4"/>
    </w:p>
    <w:p w14:paraId="00F45454" w14:textId="77777777" w:rsidR="00CE4DCF" w:rsidRDefault="00262ACD">
      <w:pPr>
        <w:spacing w:after="22" w:line="259" w:lineRule="auto"/>
        <w:ind w:left="374" w:firstLine="0"/>
      </w:pPr>
      <w:r>
        <w:t xml:space="preserve">  </w:t>
      </w:r>
    </w:p>
    <w:p w14:paraId="3853CCB8" w14:textId="77777777" w:rsidR="00CE4DCF" w:rsidRDefault="00262ACD">
      <w:pPr>
        <w:ind w:left="1065" w:hanging="720"/>
      </w:pPr>
      <w:r>
        <w:t>3.1.1</w:t>
      </w:r>
      <w:r>
        <w:rPr>
          <w:rFonts w:ascii="Arial" w:eastAsia="Arial" w:hAnsi="Arial" w:cs="Arial"/>
        </w:rPr>
        <w:t xml:space="preserve"> </w:t>
      </w:r>
      <w:r>
        <w:t xml:space="preserve">No person shall dispose </w:t>
      </w:r>
      <w:proofErr w:type="spellStart"/>
      <w:r>
        <w:t>off</w:t>
      </w:r>
      <w:proofErr w:type="spellEnd"/>
      <w:r>
        <w:t xml:space="preserve"> any food product without permission and supervision from the Food and Drugs Authority (FDA).  </w:t>
      </w:r>
    </w:p>
    <w:p w14:paraId="01E17D26" w14:textId="77777777" w:rsidR="00CE4DCF" w:rsidRDefault="00262ACD">
      <w:pPr>
        <w:ind w:left="1065" w:hanging="720"/>
      </w:pPr>
      <w:r>
        <w:t>3.1.2</w:t>
      </w:r>
      <w:r>
        <w:rPr>
          <w:rFonts w:ascii="Arial" w:eastAsia="Arial" w:hAnsi="Arial" w:cs="Arial"/>
        </w:rPr>
        <w:t xml:space="preserve"> </w:t>
      </w:r>
      <w:r>
        <w:t xml:space="preserve">Approval of application and safe disposal of any food product shall be sought from the FDA.  </w:t>
      </w:r>
    </w:p>
    <w:p w14:paraId="428AD2A0" w14:textId="77777777" w:rsidR="00CE4DCF" w:rsidRDefault="00262ACD">
      <w:pPr>
        <w:ind w:left="1065" w:right="102" w:hanging="720"/>
      </w:pPr>
      <w:r>
        <w:t>3.1.3</w:t>
      </w:r>
      <w:r>
        <w:rPr>
          <w:rFonts w:ascii="Arial" w:eastAsia="Arial" w:hAnsi="Arial" w:cs="Arial"/>
        </w:rPr>
        <w:t xml:space="preserve"> </w:t>
      </w:r>
      <w:r>
        <w:t>The applicant shall arrange</w:t>
      </w:r>
      <w:r>
        <w:t xml:space="preserve"> with the appropriate Waste Management Agency to assist in the destruction.  </w:t>
      </w:r>
    </w:p>
    <w:p w14:paraId="62BF2A54" w14:textId="77777777" w:rsidR="00CE4DCF" w:rsidRDefault="00262ACD">
      <w:pPr>
        <w:ind w:left="1065" w:hanging="720"/>
      </w:pPr>
      <w:r>
        <w:t>3.1.4</w:t>
      </w:r>
      <w:r>
        <w:rPr>
          <w:rFonts w:ascii="Arial" w:eastAsia="Arial" w:hAnsi="Arial" w:cs="Arial"/>
        </w:rPr>
        <w:t xml:space="preserve"> </w:t>
      </w:r>
      <w:r>
        <w:t xml:space="preserve">The applicant shall arrange the means of conveyance of the unwholesome products to the site of destruction  </w:t>
      </w:r>
    </w:p>
    <w:p w14:paraId="5AC7C011" w14:textId="77777777" w:rsidR="00CE4DCF" w:rsidRDefault="00262ACD">
      <w:pPr>
        <w:ind w:left="1075" w:right="128" w:hanging="730"/>
      </w:pPr>
      <w:r>
        <w:t>3.1.5</w:t>
      </w:r>
      <w:r>
        <w:rPr>
          <w:rFonts w:ascii="Arial" w:eastAsia="Arial" w:hAnsi="Arial" w:cs="Arial"/>
        </w:rPr>
        <w:t xml:space="preserve"> </w:t>
      </w:r>
      <w:r>
        <w:t>Where necessary, representatives from the Environmental P</w:t>
      </w:r>
      <w:r>
        <w:t xml:space="preserve">rotection Agency, Customs Excise and Preventive Services (CEPS), Audit Service and the Ghana Police Service shall be present as witnesses.  </w:t>
      </w:r>
    </w:p>
    <w:p w14:paraId="3C202710" w14:textId="77777777" w:rsidR="00CE4DCF" w:rsidRDefault="00262ACD">
      <w:pPr>
        <w:ind w:left="1075" w:right="124" w:hanging="730"/>
      </w:pPr>
      <w:r>
        <w:t>3.1.6</w:t>
      </w:r>
      <w:r>
        <w:rPr>
          <w:rFonts w:ascii="Arial" w:eastAsia="Arial" w:hAnsi="Arial" w:cs="Arial"/>
        </w:rPr>
        <w:t xml:space="preserve"> </w:t>
      </w:r>
      <w:r>
        <w:t>A mandatory destruction shall be carried out where the FDA assesses a consignment of food products in the cus</w:t>
      </w:r>
      <w:r>
        <w:t xml:space="preserve">tody or possession of an individual or a company is </w:t>
      </w:r>
      <w:proofErr w:type="gramStart"/>
      <w:r>
        <w:t>deem</w:t>
      </w:r>
      <w:proofErr w:type="gramEnd"/>
      <w:r>
        <w:t xml:space="preserve"> to be unwholesome or not fit for human or animal consumption.  </w:t>
      </w:r>
    </w:p>
    <w:p w14:paraId="38877751" w14:textId="77777777" w:rsidR="00CE4DCF" w:rsidRDefault="00262ACD">
      <w:pPr>
        <w:spacing w:after="195"/>
        <w:ind w:left="1065" w:hanging="720"/>
      </w:pPr>
      <w:r>
        <w:t>3.1.7</w:t>
      </w:r>
      <w:r>
        <w:rPr>
          <w:rFonts w:ascii="Arial" w:eastAsia="Arial" w:hAnsi="Arial" w:cs="Arial"/>
        </w:rPr>
        <w:t xml:space="preserve"> </w:t>
      </w:r>
      <w:r>
        <w:t xml:space="preserve">Corporate bodies and individuals shall request for a voluntary destruction of any unwholesome food in their custody.   </w:t>
      </w:r>
    </w:p>
    <w:p w14:paraId="3FF9247C" w14:textId="77777777" w:rsidR="00CE4DCF" w:rsidRDefault="00262ACD">
      <w:pPr>
        <w:spacing w:after="226" w:line="259" w:lineRule="auto"/>
        <w:ind w:left="14" w:firstLine="0"/>
      </w:pPr>
      <w:r>
        <w:t xml:space="preserve">  </w:t>
      </w:r>
    </w:p>
    <w:p w14:paraId="53F97C84" w14:textId="77777777" w:rsidR="00CE4DCF" w:rsidRDefault="00262ACD">
      <w:pPr>
        <w:pStyle w:val="Heading2"/>
        <w:ind w:left="-5"/>
      </w:pPr>
      <w:bookmarkStart w:id="5" w:name="_Toc4326"/>
      <w:r>
        <w:t>3.2.</w:t>
      </w:r>
      <w:r>
        <w:rPr>
          <w:rFonts w:ascii="Arial" w:eastAsia="Arial" w:hAnsi="Arial" w:cs="Arial"/>
        </w:rPr>
        <w:t xml:space="preserve">  </w:t>
      </w:r>
      <w:r>
        <w:t xml:space="preserve">SPECIFIC REQUIREMENTS   </w:t>
      </w:r>
      <w:bookmarkEnd w:id="5"/>
    </w:p>
    <w:p w14:paraId="252ABB22" w14:textId="77777777" w:rsidR="00CE4DCF" w:rsidRDefault="00262ACD">
      <w:pPr>
        <w:spacing w:after="33" w:line="259" w:lineRule="auto"/>
        <w:ind w:left="734" w:firstLine="0"/>
      </w:pPr>
      <w:r>
        <w:rPr>
          <w:sz w:val="23"/>
        </w:rPr>
        <w:t xml:space="preserve"> </w:t>
      </w:r>
      <w:r>
        <w:t xml:space="preserve"> </w:t>
      </w:r>
    </w:p>
    <w:p w14:paraId="7359BF65" w14:textId="77777777" w:rsidR="00CE4DCF" w:rsidRDefault="00262ACD">
      <w:pPr>
        <w:ind w:left="1065" w:hanging="720"/>
      </w:pPr>
      <w:r>
        <w:t>3.2.1</w:t>
      </w:r>
      <w:r>
        <w:rPr>
          <w:rFonts w:ascii="Arial" w:eastAsia="Arial" w:hAnsi="Arial" w:cs="Arial"/>
        </w:rPr>
        <w:t xml:space="preserve"> </w:t>
      </w:r>
      <w:r>
        <w:t xml:space="preserve">All applications for voluntary or mandatory destruction shall be made to the FDA office through a letter. The letter shall be addressed to   </w:t>
      </w:r>
    </w:p>
    <w:p w14:paraId="551080CC" w14:textId="77777777" w:rsidR="00CE4DCF" w:rsidRDefault="00262ACD">
      <w:pPr>
        <w:spacing w:after="14" w:line="259" w:lineRule="auto"/>
        <w:ind w:left="1075"/>
      </w:pPr>
      <w:r>
        <w:rPr>
          <w:b/>
        </w:rPr>
        <w:t xml:space="preserve">THE CHIEF EXECUTIVE  </w:t>
      </w:r>
      <w:r>
        <w:t xml:space="preserve"> </w:t>
      </w:r>
    </w:p>
    <w:p w14:paraId="7529FCBB" w14:textId="77777777" w:rsidR="00CE4DCF" w:rsidRDefault="00262ACD">
      <w:pPr>
        <w:spacing w:after="14" w:line="259" w:lineRule="auto"/>
        <w:ind w:left="1075"/>
      </w:pPr>
      <w:r>
        <w:rPr>
          <w:b/>
        </w:rPr>
        <w:t xml:space="preserve">FOOD AND DRUGS AUTHORITY </w:t>
      </w:r>
      <w:r>
        <w:t xml:space="preserve"> </w:t>
      </w:r>
    </w:p>
    <w:p w14:paraId="66D17DFA" w14:textId="77777777" w:rsidR="00CE4DCF" w:rsidRDefault="00262ACD">
      <w:pPr>
        <w:spacing w:after="14" w:line="259" w:lineRule="auto"/>
        <w:ind w:left="1075"/>
      </w:pPr>
      <w:r>
        <w:rPr>
          <w:b/>
        </w:rPr>
        <w:t xml:space="preserve">P.O.BOX CT 2783 </w:t>
      </w:r>
      <w:r>
        <w:t xml:space="preserve"> </w:t>
      </w:r>
    </w:p>
    <w:p w14:paraId="0DDADD54" w14:textId="77777777" w:rsidR="00CE4DCF" w:rsidRDefault="00262ACD">
      <w:pPr>
        <w:spacing w:after="14" w:line="259" w:lineRule="auto"/>
        <w:ind w:left="1075"/>
      </w:pPr>
      <w:r>
        <w:rPr>
          <w:b/>
        </w:rPr>
        <w:t xml:space="preserve">CANTONMENT – ACCRA </w:t>
      </w:r>
      <w:r>
        <w:t xml:space="preserve"> </w:t>
      </w:r>
    </w:p>
    <w:p w14:paraId="20699C82" w14:textId="77777777" w:rsidR="00CE4DCF" w:rsidRDefault="00262ACD">
      <w:pPr>
        <w:spacing w:after="20" w:line="259" w:lineRule="auto"/>
        <w:ind w:left="1094" w:firstLine="0"/>
      </w:pPr>
      <w:r>
        <w:t xml:space="preserve">  </w:t>
      </w:r>
    </w:p>
    <w:p w14:paraId="0EA5FB86" w14:textId="77777777" w:rsidR="00CE4DCF" w:rsidRDefault="00262ACD">
      <w:pPr>
        <w:spacing w:line="357" w:lineRule="auto"/>
        <w:ind w:left="1075" w:right="336" w:hanging="730"/>
        <w:jc w:val="both"/>
      </w:pPr>
      <w:r>
        <w:t>3.2.2</w:t>
      </w:r>
      <w:r>
        <w:rPr>
          <w:rFonts w:ascii="Arial" w:eastAsia="Arial" w:hAnsi="Arial" w:cs="Arial"/>
        </w:rPr>
        <w:t xml:space="preserve"> </w:t>
      </w:r>
      <w:r>
        <w:t xml:space="preserve">The letter shall state the name(s) of product(s) quantities, respective batch numbers, best before dates and commercial values and reason (s) for which the products are declared unwholesome.      </w:t>
      </w:r>
    </w:p>
    <w:p w14:paraId="10AF046C" w14:textId="77777777" w:rsidR="00CE4DCF" w:rsidRDefault="00262ACD">
      <w:pPr>
        <w:spacing w:after="0" w:line="259" w:lineRule="auto"/>
        <w:ind w:left="1094" w:firstLine="0"/>
      </w:pPr>
      <w:r>
        <w:t xml:space="preserve">  </w:t>
      </w:r>
    </w:p>
    <w:p w14:paraId="25495450" w14:textId="77777777" w:rsidR="00CE4DCF" w:rsidRDefault="00262ACD">
      <w:pPr>
        <w:spacing w:line="357" w:lineRule="auto"/>
        <w:ind w:left="1075" w:right="336" w:hanging="730"/>
        <w:jc w:val="both"/>
      </w:pPr>
      <w:proofErr w:type="gramStart"/>
      <w:r>
        <w:lastRenderedPageBreak/>
        <w:t>3.2.3</w:t>
      </w:r>
      <w:r>
        <w:rPr>
          <w:rFonts w:ascii="Arial" w:eastAsia="Arial" w:hAnsi="Arial" w:cs="Arial"/>
        </w:rPr>
        <w:t xml:space="preserve"> </w:t>
      </w:r>
      <w:r>
        <w:t xml:space="preserve"> The</w:t>
      </w:r>
      <w:proofErr w:type="gramEnd"/>
      <w:r>
        <w:t xml:space="preserve"> applicant shall also pay a non-refundable fee</w:t>
      </w:r>
      <w:r>
        <w:t xml:space="preserve"> as specified in the Fee Schedule. In the case of a mandatory destruction, the applicant may be required to pay an administrative fee in addition to the scheduled destruction fee.  </w:t>
      </w:r>
    </w:p>
    <w:p w14:paraId="093459EE" w14:textId="77777777" w:rsidR="00CE4DCF" w:rsidRDefault="00262ACD">
      <w:pPr>
        <w:ind w:left="1065" w:hanging="720"/>
      </w:pPr>
      <w:r>
        <w:t>3.2.4</w:t>
      </w:r>
      <w:r>
        <w:rPr>
          <w:rFonts w:ascii="Arial" w:eastAsia="Arial" w:hAnsi="Arial" w:cs="Arial"/>
        </w:rPr>
        <w:t xml:space="preserve"> </w:t>
      </w:r>
      <w:r>
        <w:t>The Food and Drugs Authority shall prior to supervision of the destr</w:t>
      </w:r>
      <w:r>
        <w:t xml:space="preserve">uction exercise, conduct inspection or assessment of the listed food products to confirm their status.   </w:t>
      </w:r>
    </w:p>
    <w:p w14:paraId="386AC346" w14:textId="77777777" w:rsidR="00CE4DCF" w:rsidRDefault="00262ACD">
      <w:pPr>
        <w:ind w:left="1065" w:hanging="720"/>
      </w:pPr>
      <w:r>
        <w:t>3.2.5</w:t>
      </w:r>
      <w:r>
        <w:rPr>
          <w:rFonts w:ascii="Arial" w:eastAsia="Arial" w:hAnsi="Arial" w:cs="Arial"/>
        </w:rPr>
        <w:t xml:space="preserve"> </w:t>
      </w:r>
      <w:r>
        <w:t xml:space="preserve">The applicant shall arrange and agree with the FDA on a convenient date on which the voluntary destruction can be undertaken.  </w:t>
      </w:r>
    </w:p>
    <w:p w14:paraId="72D216AA" w14:textId="77777777" w:rsidR="00CE4DCF" w:rsidRDefault="00262ACD">
      <w:pPr>
        <w:ind w:left="1065" w:hanging="720"/>
      </w:pPr>
      <w:r>
        <w:t>3.2.6</w:t>
      </w:r>
      <w:r>
        <w:rPr>
          <w:rFonts w:ascii="Arial" w:eastAsia="Arial" w:hAnsi="Arial" w:cs="Arial"/>
        </w:rPr>
        <w:t xml:space="preserve"> </w:t>
      </w:r>
      <w:r>
        <w:t>With regar</w:t>
      </w:r>
      <w:r>
        <w:t xml:space="preserve">ds to mandatory destruction, the FDA shall determine and communicate the day on which the destruction exercise will be done.  </w:t>
      </w:r>
    </w:p>
    <w:p w14:paraId="00BC677B" w14:textId="77777777" w:rsidR="00CE4DCF" w:rsidRDefault="00262ACD">
      <w:pPr>
        <w:spacing w:after="586" w:line="265" w:lineRule="auto"/>
        <w:ind w:left="14" w:right="9270" w:firstLine="0"/>
      </w:pPr>
      <w:r>
        <w:t xml:space="preserve">  </w:t>
      </w:r>
      <w:r>
        <w:rPr>
          <w:sz w:val="23"/>
        </w:rPr>
        <w:t xml:space="preserve"> </w:t>
      </w:r>
      <w:r>
        <w:t xml:space="preserve"> </w:t>
      </w:r>
    </w:p>
    <w:p w14:paraId="56DA8691" w14:textId="77777777" w:rsidR="00CE4DCF" w:rsidRDefault="00262ACD">
      <w:pPr>
        <w:pStyle w:val="Heading1"/>
        <w:ind w:left="-5"/>
      </w:pPr>
      <w:bookmarkStart w:id="6" w:name="_Toc4327"/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SANCTIONS  </w:t>
      </w:r>
      <w:bookmarkEnd w:id="6"/>
    </w:p>
    <w:p w14:paraId="18693AF3" w14:textId="77777777" w:rsidR="00CE4DCF" w:rsidRDefault="00262ACD">
      <w:pPr>
        <w:ind w:left="355"/>
      </w:pPr>
      <w:r>
        <w:t xml:space="preserve">Any person or corporate body who fails to comply with any of the requirements of these guidelines commits an </w:t>
      </w:r>
      <w:r>
        <w:t xml:space="preserve">offence and shall be liable to a fine in accordance with </w:t>
      </w:r>
      <w:r>
        <w:rPr>
          <w:sz w:val="22"/>
        </w:rPr>
        <w:t xml:space="preserve">Part Seven, </w:t>
      </w:r>
      <w:r>
        <w:t xml:space="preserve"> </w:t>
      </w:r>
    </w:p>
    <w:p w14:paraId="18074C27" w14:textId="77777777" w:rsidR="00CE4DCF" w:rsidRDefault="00262ACD">
      <w:pPr>
        <w:spacing w:after="122" w:line="259" w:lineRule="auto"/>
        <w:ind w:left="355" w:right="327"/>
        <w:jc w:val="both"/>
      </w:pPr>
      <w:r>
        <w:rPr>
          <w:sz w:val="22"/>
        </w:rPr>
        <w:t>Section 132 subsection 4 of Public Health Act, 2012, (Act 851)</w:t>
      </w:r>
      <w:r>
        <w:t xml:space="preserve">.  </w:t>
      </w:r>
    </w:p>
    <w:p w14:paraId="6B013FC5" w14:textId="77777777" w:rsidR="00CE4DCF" w:rsidRDefault="00262ACD">
      <w:pPr>
        <w:spacing w:after="675" w:line="259" w:lineRule="auto"/>
        <w:ind w:left="14" w:firstLine="0"/>
      </w:pPr>
      <w:r>
        <w:t xml:space="preserve">  </w:t>
      </w:r>
    </w:p>
    <w:p w14:paraId="29F84CF9" w14:textId="77777777" w:rsidR="00CE4DCF" w:rsidRDefault="00262ACD">
      <w:pPr>
        <w:pStyle w:val="Heading1"/>
        <w:ind w:left="-5"/>
      </w:pPr>
      <w:bookmarkStart w:id="7" w:name="_Toc4328"/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PENALTIES  </w:t>
      </w:r>
      <w:bookmarkEnd w:id="7"/>
    </w:p>
    <w:p w14:paraId="35ADAF38" w14:textId="77777777" w:rsidR="00CE4DCF" w:rsidRDefault="00262ACD">
      <w:pPr>
        <w:spacing w:line="357" w:lineRule="auto"/>
        <w:ind w:left="355" w:right="336"/>
        <w:jc w:val="both"/>
      </w:pPr>
      <w:r>
        <w:t>Where non-</w:t>
      </w:r>
      <w:r>
        <w:t xml:space="preserve">adherence to this guideline results in exposure of consumers to a food safety risk, the FDA will impose an Administrative Charges in accordance with Section 148, Subsection 4 &amp; 5 of the Public Health Act, 2012, Act 851.   </w:t>
      </w:r>
    </w:p>
    <w:p w14:paraId="6327CB1D" w14:textId="77777777" w:rsidR="00CE4DCF" w:rsidRDefault="00262ACD">
      <w:pPr>
        <w:spacing w:after="0" w:line="259" w:lineRule="auto"/>
        <w:ind w:left="14" w:firstLine="0"/>
      </w:pPr>
      <w:r>
        <w:t xml:space="preserve">  </w:t>
      </w:r>
    </w:p>
    <w:sectPr w:rsidR="00CE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9" w:right="1076" w:bottom="901" w:left="1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F0A62" w14:textId="77777777" w:rsidR="00262ACD" w:rsidRDefault="00262ACD">
      <w:pPr>
        <w:spacing w:after="0" w:line="240" w:lineRule="auto"/>
      </w:pPr>
      <w:r>
        <w:separator/>
      </w:r>
    </w:p>
  </w:endnote>
  <w:endnote w:type="continuationSeparator" w:id="0">
    <w:p w14:paraId="31D2CA92" w14:textId="77777777" w:rsidR="00262ACD" w:rsidRDefault="0026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908B" w14:textId="77777777" w:rsidR="00CE4DCF" w:rsidRDefault="00262ACD">
    <w:pPr>
      <w:spacing w:after="217" w:line="259" w:lineRule="auto"/>
      <w:ind w:left="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EB7122" wp14:editId="7B6029AC">
              <wp:simplePos x="0" y="0"/>
              <wp:positionH relativeFrom="page">
                <wp:posOffset>914400</wp:posOffset>
              </wp:positionH>
              <wp:positionV relativeFrom="page">
                <wp:posOffset>9756775</wp:posOffset>
              </wp:positionV>
              <wp:extent cx="5924550" cy="57150"/>
              <wp:effectExtent l="0" t="0" r="0" b="0"/>
              <wp:wrapSquare wrapText="bothSides"/>
              <wp:docPr id="4207" name="Group 4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57150"/>
                        <a:chOff x="0" y="0"/>
                        <a:chExt cx="5924550" cy="57150"/>
                      </a:xfrm>
                    </wpg:grpSpPr>
                    <wps:wsp>
                      <wps:cNvPr id="4473" name="Shape 4473"/>
                      <wps:cNvSpPr/>
                      <wps:spPr>
                        <a:xfrm>
                          <a:off x="0" y="45720"/>
                          <a:ext cx="592455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4550" h="1143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0" y="0"/>
                          <a:ext cx="5924550" cy="3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4550" h="34289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34289"/>
                              </a:lnTo>
                              <a:lnTo>
                                <a:pt x="0" y="34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07" style="width:466.5pt;height:4.5pt;position:absolute;mso-position-horizontal-relative:page;mso-position-horizontal:absolute;margin-left:72pt;mso-position-vertical-relative:page;margin-top:768.25pt;" coordsize="59245,571">
              <v:shape id="Shape 4475" style="position:absolute;width:59245;height:114;left:0;top:457;" coordsize="5924550,11430" path="m0,0l5924550,0l5924550,11430l0,11430l0,0">
                <v:stroke weight="0pt" endcap="flat" joinstyle="miter" miterlimit="10" on="false" color="#000000" opacity="0"/>
                <v:fill on="true" color="#993300"/>
              </v:shape>
              <v:shape id="Shape 4476" style="position:absolute;width:59245;height:342;left:0;top:0;" coordsize="5924550,34289" path="m0,0l5924550,0l5924550,34289l0,34289l0,0">
                <v:stroke weight="0pt" endcap="flat" joinstyle="miter" miterlimit="10" on="false" color="#000000" opacity="0"/>
                <v:fill on="true" color="#9933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</w:rPr>
      <w:t xml:space="preserve"> </w:t>
    </w:r>
    <w:r>
      <w:t xml:space="preserve"> </w:t>
    </w:r>
  </w:p>
  <w:p w14:paraId="5AD703E1" w14:textId="77777777" w:rsidR="00CE4DCF" w:rsidRDefault="00262ACD">
    <w:pPr>
      <w:tabs>
        <w:tab w:val="right" w:pos="9405"/>
      </w:tabs>
      <w:spacing w:after="8" w:line="259" w:lineRule="auto"/>
      <w:ind w:left="0" w:firstLine="0"/>
    </w:pPr>
    <w:r>
      <w:rPr>
        <w:rFonts w:ascii="Tahoma" w:eastAsia="Tahoma" w:hAnsi="Tahoma" w:cs="Tahoma"/>
      </w:rPr>
      <w:t xml:space="preserve">  </w:t>
    </w:r>
    <w:r>
      <w:rPr>
        <w:rFonts w:ascii="Tahoma" w:eastAsia="Tahoma" w:hAnsi="Tahoma" w:cs="Tahoma"/>
      </w:rPr>
      <w:tab/>
    </w:r>
    <w:r>
      <w:t xml:space="preserve">  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 xml:space="preserve">  </w:t>
    </w:r>
  </w:p>
  <w:p w14:paraId="05BCB159" w14:textId="77777777" w:rsidR="00CE4DCF" w:rsidRDefault="00262ACD">
    <w:pPr>
      <w:spacing w:after="0" w:line="259" w:lineRule="auto"/>
      <w:ind w:left="14" w:firstLine="0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9249" w14:textId="77777777" w:rsidR="00CE4DCF" w:rsidRDefault="00262ACD">
    <w:pPr>
      <w:spacing w:after="217" w:line="259" w:lineRule="auto"/>
      <w:ind w:left="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2BA34C" wp14:editId="2C245F2C">
              <wp:simplePos x="0" y="0"/>
              <wp:positionH relativeFrom="page">
                <wp:posOffset>914400</wp:posOffset>
              </wp:positionH>
              <wp:positionV relativeFrom="page">
                <wp:posOffset>9756775</wp:posOffset>
              </wp:positionV>
              <wp:extent cx="5924550" cy="57150"/>
              <wp:effectExtent l="0" t="0" r="0" b="0"/>
              <wp:wrapSquare wrapText="bothSides"/>
              <wp:docPr id="4170" name="Group 4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57150"/>
                        <a:chOff x="0" y="0"/>
                        <a:chExt cx="5924550" cy="57150"/>
                      </a:xfrm>
                    </wpg:grpSpPr>
                    <wps:wsp>
                      <wps:cNvPr id="4469" name="Shape 4469"/>
                      <wps:cNvSpPr/>
                      <wps:spPr>
                        <a:xfrm>
                          <a:off x="0" y="45720"/>
                          <a:ext cx="592455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4550" h="11430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0" y="0"/>
                          <a:ext cx="5924550" cy="34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4550" h="34289">
                              <a:moveTo>
                                <a:pt x="0" y="0"/>
                              </a:moveTo>
                              <a:lnTo>
                                <a:pt x="5924550" y="0"/>
                              </a:lnTo>
                              <a:lnTo>
                                <a:pt x="5924550" y="34289"/>
                              </a:lnTo>
                              <a:lnTo>
                                <a:pt x="0" y="34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0" style="width:466.5pt;height:4.5pt;position:absolute;mso-position-horizontal-relative:page;mso-position-horizontal:absolute;margin-left:72pt;mso-position-vertical-relative:page;margin-top:768.25pt;" coordsize="59245,571">
              <v:shape id="Shape 4471" style="position:absolute;width:59245;height:114;left:0;top:457;" coordsize="5924550,11430" path="m0,0l5924550,0l5924550,11430l0,11430l0,0">
                <v:stroke weight="0pt" endcap="flat" joinstyle="miter" miterlimit="10" on="false" color="#000000" opacity="0"/>
                <v:fill on="true" color="#993300"/>
              </v:shape>
              <v:shape id="Shape 4472" style="position:absolute;width:59245;height:342;left:0;top:0;" coordsize="5924550,34289" path="m0,0l5924550,0l5924550,34289l0,34289l0,0">
                <v:stroke weight="0pt" endcap="flat" joinstyle="miter" miterlimit="10" on="false" color="#000000" opacity="0"/>
                <v:fill on="true" color="#99330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</w:rPr>
      <w:t xml:space="preserve"> </w:t>
    </w:r>
    <w:r>
      <w:t xml:space="preserve"> </w:t>
    </w:r>
  </w:p>
  <w:p w14:paraId="3A6CCE37" w14:textId="77777777" w:rsidR="00CE4DCF" w:rsidRDefault="00262ACD">
    <w:pPr>
      <w:tabs>
        <w:tab w:val="right" w:pos="9405"/>
      </w:tabs>
      <w:spacing w:after="8" w:line="259" w:lineRule="auto"/>
      <w:ind w:left="0" w:firstLine="0"/>
    </w:pPr>
    <w:r>
      <w:rPr>
        <w:rFonts w:ascii="Tahoma" w:eastAsia="Tahoma" w:hAnsi="Tahoma" w:cs="Tahoma"/>
      </w:rPr>
      <w:t xml:space="preserve">  </w:t>
    </w:r>
    <w:r>
      <w:rPr>
        <w:rFonts w:ascii="Tahoma" w:eastAsia="Tahoma" w:hAnsi="Tahoma" w:cs="Tahoma"/>
      </w:rPr>
      <w:tab/>
    </w:r>
    <w:r>
      <w:t xml:space="preserve">  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 xml:space="preserve">  </w:t>
    </w:r>
  </w:p>
  <w:p w14:paraId="7B2FE9B2" w14:textId="77777777" w:rsidR="00CE4DCF" w:rsidRDefault="00262ACD">
    <w:pPr>
      <w:spacing w:after="0" w:line="259" w:lineRule="auto"/>
      <w:ind w:left="14" w:firstLine="0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F99C" w14:textId="77777777" w:rsidR="00CE4DCF" w:rsidRDefault="00CE4DC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2802" w14:textId="77777777" w:rsidR="00262ACD" w:rsidRDefault="00262ACD">
      <w:pPr>
        <w:spacing w:after="0" w:line="240" w:lineRule="auto"/>
      </w:pPr>
      <w:r>
        <w:separator/>
      </w:r>
    </w:p>
  </w:footnote>
  <w:footnote w:type="continuationSeparator" w:id="0">
    <w:p w14:paraId="6C37EDDB" w14:textId="77777777" w:rsidR="00262ACD" w:rsidRDefault="0026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1FEA" w14:textId="77777777" w:rsidR="00CE4DCF" w:rsidRDefault="00262ACD">
    <w:pPr>
      <w:spacing w:after="0" w:line="259" w:lineRule="auto"/>
      <w:ind w:left="0" w:right="361" w:firstLine="0"/>
      <w:jc w:val="right"/>
    </w:pPr>
    <w:r>
      <w:rPr>
        <w:b/>
      </w:rPr>
      <w:t>FDA/FID/GL-DF</w:t>
    </w:r>
    <w:r>
      <w:rPr>
        <w:b/>
      </w:rPr>
      <w:t>P/2013/04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EA97" w14:textId="77777777" w:rsidR="00CE4DCF" w:rsidRDefault="00262ACD">
    <w:pPr>
      <w:spacing w:after="0" w:line="259" w:lineRule="auto"/>
      <w:ind w:left="0" w:right="361" w:firstLine="0"/>
      <w:jc w:val="right"/>
    </w:pPr>
    <w:r>
      <w:rPr>
        <w:b/>
      </w:rPr>
      <w:t>FDA/FID/GL-DFP/2013/04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90D8" w14:textId="77777777" w:rsidR="00CE4DCF" w:rsidRDefault="00CE4DCF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CF"/>
    <w:rsid w:val="00262ACD"/>
    <w:rsid w:val="00826BCD"/>
    <w:rsid w:val="00C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6938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56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TOC1">
    <w:name w:val="toc 1"/>
    <w:hidden/>
    <w:pPr>
      <w:spacing w:after="218"/>
      <w:ind w:left="54" w:right="3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222"/>
      <w:ind w:left="245" w:right="51" w:hanging="10"/>
      <w:jc w:val="right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DRUGS AUTHORITY</dc:title>
  <dc:subject/>
  <dc:creator>fdb</dc:creator>
  <cp:keywords/>
  <cp:lastModifiedBy>samuel fahren otoo</cp:lastModifiedBy>
  <cp:revision>2</cp:revision>
  <dcterms:created xsi:type="dcterms:W3CDTF">2020-04-05T20:14:00Z</dcterms:created>
  <dcterms:modified xsi:type="dcterms:W3CDTF">2020-04-05T20:14:00Z</dcterms:modified>
</cp:coreProperties>
</file>