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611CB" w14:textId="77777777" w:rsidR="00684C5D" w:rsidRDefault="005E371B">
      <w:pPr>
        <w:spacing w:after="210" w:line="259" w:lineRule="auto"/>
        <w:ind w:left="0" w:firstLine="0"/>
        <w:jc w:val="left"/>
      </w:pPr>
      <w:r>
        <w:t xml:space="preserve"> </w:t>
      </w:r>
    </w:p>
    <w:p w14:paraId="078558E3" w14:textId="77777777" w:rsidR="00684C5D" w:rsidRDefault="005E371B">
      <w:pPr>
        <w:spacing w:after="170" w:line="259" w:lineRule="auto"/>
        <w:ind w:left="64" w:firstLine="0"/>
        <w:jc w:val="center"/>
      </w:pPr>
      <w:r>
        <w:rPr>
          <w:noProof/>
        </w:rPr>
        <w:drawing>
          <wp:inline distT="0" distB="0" distL="0" distR="0" wp14:anchorId="138964EF" wp14:editId="18F1EBC9">
            <wp:extent cx="1283335" cy="1259434"/>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1283335" cy="1259434"/>
                    </a:xfrm>
                    <a:prstGeom prst="rect">
                      <a:avLst/>
                    </a:prstGeom>
                  </pic:spPr>
                </pic:pic>
              </a:graphicData>
            </a:graphic>
          </wp:inline>
        </w:drawing>
      </w:r>
      <w:r>
        <w:t xml:space="preserve"> </w:t>
      </w:r>
    </w:p>
    <w:p w14:paraId="21AFC286" w14:textId="77777777" w:rsidR="00684C5D" w:rsidRDefault="005E371B">
      <w:pPr>
        <w:spacing w:after="370" w:line="259" w:lineRule="auto"/>
        <w:ind w:left="65" w:firstLine="0"/>
        <w:jc w:val="center"/>
      </w:pPr>
      <w:r>
        <w:rPr>
          <w:b/>
        </w:rPr>
        <w:t xml:space="preserve"> </w:t>
      </w:r>
    </w:p>
    <w:p w14:paraId="6EC66226" w14:textId="77777777" w:rsidR="00684C5D" w:rsidRDefault="005E371B">
      <w:pPr>
        <w:spacing w:after="81" w:line="259" w:lineRule="auto"/>
        <w:ind w:left="0" w:firstLine="0"/>
        <w:jc w:val="center"/>
      </w:pPr>
      <w:r>
        <w:rPr>
          <w:b/>
          <w:sz w:val="40"/>
        </w:rPr>
        <w:t xml:space="preserve">FOOD AND DRUGS AUTHORITY </w:t>
      </w:r>
    </w:p>
    <w:p w14:paraId="4BB032FB" w14:textId="77777777" w:rsidR="00684C5D" w:rsidRDefault="005E371B">
      <w:pPr>
        <w:spacing w:after="114" w:line="450" w:lineRule="auto"/>
        <w:ind w:left="0" w:right="9296" w:firstLine="0"/>
        <w:jc w:val="left"/>
      </w:pPr>
      <w:r>
        <w:t xml:space="preserve">     </w:t>
      </w:r>
    </w:p>
    <w:p w14:paraId="41A0A5AB" w14:textId="77777777" w:rsidR="00684C5D" w:rsidRDefault="005E371B">
      <w:pPr>
        <w:spacing w:after="28" w:line="259" w:lineRule="auto"/>
        <w:ind w:left="77" w:firstLine="0"/>
        <w:jc w:val="left"/>
      </w:pPr>
      <w:r>
        <w:rPr>
          <w:b/>
          <w:sz w:val="36"/>
        </w:rPr>
        <w:t xml:space="preserve">GUIDELINES FOR PROCESSING OF EXPORT PERMIT </w:t>
      </w:r>
    </w:p>
    <w:p w14:paraId="4B006CD5" w14:textId="77777777" w:rsidR="00684C5D" w:rsidRDefault="005E371B">
      <w:pPr>
        <w:spacing w:after="28" w:line="259" w:lineRule="auto"/>
        <w:ind w:right="2"/>
        <w:jc w:val="center"/>
      </w:pPr>
      <w:r>
        <w:rPr>
          <w:b/>
          <w:sz w:val="36"/>
        </w:rPr>
        <w:t xml:space="preserve">AND CLEARANCE OF FRESH FRUITS AND </w:t>
      </w:r>
    </w:p>
    <w:p w14:paraId="6A5C0DCE" w14:textId="77777777" w:rsidR="00684C5D" w:rsidRDefault="005E371B">
      <w:pPr>
        <w:spacing w:after="117" w:line="259" w:lineRule="auto"/>
        <w:ind w:right="5"/>
        <w:jc w:val="center"/>
      </w:pPr>
      <w:r>
        <w:rPr>
          <w:b/>
          <w:sz w:val="36"/>
        </w:rPr>
        <w:t xml:space="preserve">VEGETABLES </w:t>
      </w:r>
    </w:p>
    <w:p w14:paraId="688A7D49" w14:textId="77777777" w:rsidR="00684C5D" w:rsidRDefault="005E371B">
      <w:pPr>
        <w:spacing w:after="1" w:line="450" w:lineRule="auto"/>
        <w:ind w:left="0" w:right="9296" w:firstLine="0"/>
        <w:jc w:val="left"/>
      </w:pPr>
      <w:r>
        <w:t xml:space="preserve">      </w:t>
      </w:r>
    </w:p>
    <w:p w14:paraId="23F5577A" w14:textId="77777777" w:rsidR="00684C5D" w:rsidRDefault="005E371B">
      <w:pPr>
        <w:tabs>
          <w:tab w:val="center" w:pos="2160"/>
          <w:tab w:val="center" w:pos="2914"/>
          <w:tab w:val="center" w:pos="5029"/>
        </w:tabs>
        <w:ind w:left="0" w:firstLine="0"/>
        <w:jc w:val="left"/>
      </w:pPr>
      <w:r>
        <w:rPr>
          <w:b/>
        </w:rPr>
        <w:t xml:space="preserve">Document No. </w:t>
      </w:r>
      <w:r>
        <w:rPr>
          <w:b/>
        </w:rPr>
        <w:tab/>
        <w:t xml:space="preserve"> </w:t>
      </w:r>
      <w:r>
        <w:rPr>
          <w:b/>
        </w:rPr>
        <w:tab/>
      </w:r>
      <w:r>
        <w:t>:</w:t>
      </w:r>
      <w:r>
        <w:rPr>
          <w:b/>
        </w:rPr>
        <w:t xml:space="preserve">  </w:t>
      </w:r>
      <w:r>
        <w:rPr>
          <w:b/>
        </w:rPr>
        <w:tab/>
      </w:r>
      <w:r>
        <w:t>FDA/IEC/GL-POP/2019/10</w:t>
      </w:r>
      <w:r>
        <w:rPr>
          <w:b/>
        </w:rPr>
        <w:t xml:space="preserve"> </w:t>
      </w:r>
    </w:p>
    <w:p w14:paraId="013BA36E" w14:textId="77777777" w:rsidR="00D2238D" w:rsidRDefault="005E371B">
      <w:pPr>
        <w:spacing w:line="250" w:lineRule="auto"/>
        <w:ind w:left="-5"/>
        <w:jc w:val="left"/>
        <w:rPr>
          <w:b/>
        </w:rPr>
      </w:pPr>
      <w:r>
        <w:rPr>
          <w:b/>
        </w:rPr>
        <w:t xml:space="preserve">Date of First Adoption </w:t>
      </w:r>
      <w:r>
        <w:rPr>
          <w:b/>
        </w:rPr>
        <w:tab/>
      </w:r>
      <w:r>
        <w:t>:</w:t>
      </w:r>
      <w:r>
        <w:rPr>
          <w:b/>
        </w:rPr>
        <w:t xml:space="preserve"> </w:t>
      </w:r>
      <w:r>
        <w:rPr>
          <w:b/>
        </w:rPr>
        <w:tab/>
      </w:r>
      <w:r>
        <w:t>01</w:t>
      </w:r>
      <w:r>
        <w:rPr>
          <w:vertAlign w:val="superscript"/>
        </w:rPr>
        <w:t>st</w:t>
      </w:r>
      <w:r>
        <w:t xml:space="preserve"> April 2019</w:t>
      </w:r>
      <w:r>
        <w:rPr>
          <w:b/>
        </w:rPr>
        <w:t xml:space="preserve">  </w:t>
      </w:r>
    </w:p>
    <w:p w14:paraId="64409ADA" w14:textId="77777777" w:rsidR="00D2238D" w:rsidRDefault="005E371B">
      <w:pPr>
        <w:spacing w:line="250" w:lineRule="auto"/>
        <w:ind w:left="-5"/>
        <w:jc w:val="left"/>
        <w:rPr>
          <w:b/>
        </w:rPr>
      </w:pPr>
      <w:r>
        <w:rPr>
          <w:b/>
        </w:rPr>
        <w:t xml:space="preserve">Effective Date </w:t>
      </w:r>
      <w:r>
        <w:rPr>
          <w:b/>
        </w:rPr>
        <w:tab/>
        <w:t xml:space="preserve"> </w:t>
      </w:r>
      <w:r>
        <w:rPr>
          <w:b/>
        </w:rPr>
        <w:tab/>
      </w:r>
      <w:r>
        <w:t>:</w:t>
      </w:r>
      <w:r>
        <w:rPr>
          <w:b/>
        </w:rPr>
        <w:t xml:space="preserve"> </w:t>
      </w:r>
      <w:r>
        <w:rPr>
          <w:b/>
        </w:rPr>
        <w:tab/>
      </w:r>
      <w:r>
        <w:t>4</w:t>
      </w:r>
      <w:r>
        <w:rPr>
          <w:vertAlign w:val="superscript"/>
        </w:rPr>
        <w:t>th</w:t>
      </w:r>
      <w:r>
        <w:t xml:space="preserve"> </w:t>
      </w:r>
      <w:r>
        <w:t>November 2019</w:t>
      </w:r>
      <w:r>
        <w:rPr>
          <w:b/>
        </w:rPr>
        <w:t xml:space="preserve"> </w:t>
      </w:r>
    </w:p>
    <w:p w14:paraId="1629A3C3" w14:textId="67F95BB8" w:rsidR="00684C5D" w:rsidRDefault="005E371B">
      <w:pPr>
        <w:spacing w:line="250" w:lineRule="auto"/>
        <w:ind w:left="-5"/>
        <w:jc w:val="left"/>
      </w:pPr>
      <w:r>
        <w:rPr>
          <w:b/>
        </w:rPr>
        <w:t xml:space="preserve">Version </w:t>
      </w:r>
      <w:proofErr w:type="gramStart"/>
      <w:r>
        <w:rPr>
          <w:b/>
        </w:rPr>
        <w:t xml:space="preserve">No.  </w:t>
      </w:r>
      <w:r>
        <w:rPr>
          <w:b/>
        </w:rPr>
        <w:tab/>
      </w:r>
      <w:proofErr w:type="gramEnd"/>
      <w:r>
        <w:rPr>
          <w:b/>
        </w:rPr>
        <w:t xml:space="preserve"> </w:t>
      </w:r>
      <w:r>
        <w:rPr>
          <w:b/>
        </w:rPr>
        <w:tab/>
      </w:r>
      <w:r>
        <w:t>:</w:t>
      </w:r>
      <w:r>
        <w:rPr>
          <w:b/>
        </w:rPr>
        <w:t xml:space="preserve"> </w:t>
      </w:r>
      <w:r>
        <w:rPr>
          <w:b/>
        </w:rPr>
        <w:tab/>
      </w:r>
      <w:r>
        <w:t>02</w:t>
      </w:r>
      <w:r>
        <w:rPr>
          <w:b/>
        </w:rPr>
        <w:t xml:space="preserve"> </w:t>
      </w:r>
    </w:p>
    <w:p w14:paraId="567C2B68" w14:textId="77777777" w:rsidR="00684C5D" w:rsidRDefault="005E371B">
      <w:pPr>
        <w:spacing w:after="0" w:line="259" w:lineRule="auto"/>
        <w:ind w:left="0" w:firstLine="0"/>
        <w:jc w:val="left"/>
      </w:pPr>
      <w:r>
        <w:t xml:space="preserve"> </w:t>
      </w:r>
    </w:p>
    <w:p w14:paraId="5B32F9E8" w14:textId="77777777" w:rsidR="00D2238D" w:rsidRDefault="00D2238D">
      <w:pPr>
        <w:spacing w:after="1046" w:line="259" w:lineRule="auto"/>
        <w:ind w:left="0" w:firstLine="0"/>
        <w:jc w:val="right"/>
        <w:rPr>
          <w:b/>
        </w:rPr>
      </w:pPr>
    </w:p>
    <w:p w14:paraId="113097FD" w14:textId="77777777" w:rsidR="00D2238D" w:rsidRDefault="00D2238D">
      <w:pPr>
        <w:spacing w:after="1046" w:line="259" w:lineRule="auto"/>
        <w:ind w:left="0" w:firstLine="0"/>
        <w:jc w:val="right"/>
        <w:rPr>
          <w:b/>
        </w:rPr>
      </w:pPr>
    </w:p>
    <w:p w14:paraId="07B33C89" w14:textId="77777777" w:rsidR="00D2238D" w:rsidRDefault="00D2238D">
      <w:pPr>
        <w:spacing w:after="1046" w:line="259" w:lineRule="auto"/>
        <w:ind w:left="0" w:firstLine="0"/>
        <w:jc w:val="right"/>
        <w:rPr>
          <w:b/>
        </w:rPr>
      </w:pPr>
    </w:p>
    <w:p w14:paraId="071EFA9E" w14:textId="024C5B5F" w:rsidR="00D2238D" w:rsidRPr="00D2238D" w:rsidRDefault="005E371B" w:rsidP="00D2238D">
      <w:pPr>
        <w:spacing w:after="1046" w:line="259" w:lineRule="auto"/>
        <w:ind w:left="0" w:firstLine="0"/>
        <w:jc w:val="right"/>
        <w:rPr>
          <w:b/>
        </w:rPr>
      </w:pPr>
      <w:r>
        <w:rPr>
          <w:b/>
        </w:rPr>
        <w:t xml:space="preserve">FDA/IEC/GL-POP/2019/10 </w:t>
      </w:r>
      <w:bookmarkStart w:id="0" w:name="_GoBack"/>
      <w:bookmarkEnd w:id="0"/>
    </w:p>
    <w:sdt>
      <w:sdtPr>
        <w:id w:val="-1246876982"/>
        <w:docPartObj>
          <w:docPartGallery w:val="Table of Contents"/>
        </w:docPartObj>
      </w:sdtPr>
      <w:sdtEndPr/>
      <w:sdtContent>
        <w:p w14:paraId="5782C0A9" w14:textId="77777777" w:rsidR="00684C5D" w:rsidRDefault="005E371B">
          <w:pPr>
            <w:spacing w:after="0" w:line="259" w:lineRule="auto"/>
            <w:ind w:left="0" w:firstLine="0"/>
            <w:jc w:val="left"/>
          </w:pPr>
          <w:r>
            <w:rPr>
              <w:sz w:val="32"/>
            </w:rPr>
            <w:t xml:space="preserve">Table of Contents </w:t>
          </w:r>
        </w:p>
        <w:p w14:paraId="0424414C" w14:textId="7DE9B5F4" w:rsidR="00D2238D" w:rsidRPr="00D2238D" w:rsidRDefault="005E371B" w:rsidP="00D2238D">
          <w:pPr>
            <w:pStyle w:val="ListParagraph"/>
            <w:numPr>
              <w:ilvl w:val="0"/>
              <w:numId w:val="2"/>
            </w:numPr>
            <w:spacing w:after="0" w:line="335" w:lineRule="auto"/>
            <w:rPr>
              <w:rFonts w:ascii="Calibri" w:eastAsia="Calibri" w:hAnsi="Calibri" w:cs="Calibri"/>
              <w:sz w:val="22"/>
            </w:rPr>
          </w:pPr>
          <w:r>
            <w:t xml:space="preserve">INTRODUCTION ...................................................... </w:t>
          </w:r>
          <w:r>
            <w:t>1.1</w:t>
          </w:r>
          <w:r w:rsidRPr="00D2238D">
            <w:rPr>
              <w:rFonts w:ascii="Calibri" w:eastAsia="Calibri" w:hAnsi="Calibri" w:cs="Calibri"/>
              <w:sz w:val="22"/>
            </w:rPr>
            <w:t xml:space="preserve"> </w:t>
          </w:r>
          <w:r w:rsidRPr="00D2238D">
            <w:rPr>
              <w:rFonts w:ascii="Calibri" w:eastAsia="Calibri" w:hAnsi="Calibri" w:cs="Calibri"/>
              <w:sz w:val="22"/>
            </w:rPr>
            <w:tab/>
          </w:r>
        </w:p>
        <w:p w14:paraId="7B26A29A" w14:textId="77777777" w:rsidR="00D2238D" w:rsidRPr="00D2238D" w:rsidRDefault="005E371B" w:rsidP="00D2238D">
          <w:pPr>
            <w:pStyle w:val="ListParagraph"/>
            <w:spacing w:after="0" w:line="335" w:lineRule="auto"/>
            <w:ind w:left="855" w:firstLine="0"/>
            <w:rPr>
              <w:b/>
            </w:rPr>
          </w:pPr>
          <w:r>
            <w:t>Scope ..............................................................</w:t>
          </w:r>
          <w:r>
            <w:t>......</w:t>
          </w:r>
          <w:r w:rsidRPr="00D2238D">
            <w:rPr>
              <w:rFonts w:ascii="Calibri" w:eastAsia="Calibri" w:hAnsi="Calibri" w:cs="Calibri"/>
              <w:sz w:val="22"/>
            </w:rPr>
            <w:t xml:space="preserve"> </w:t>
          </w:r>
          <w:r>
            <w:t>1.2</w:t>
          </w:r>
          <w:r w:rsidRPr="00D2238D">
            <w:rPr>
              <w:rFonts w:ascii="Calibri" w:eastAsia="Calibri" w:hAnsi="Calibri" w:cs="Calibri"/>
              <w:sz w:val="22"/>
            </w:rPr>
            <w:t xml:space="preserve"> </w:t>
          </w:r>
          <w:r w:rsidRPr="00D2238D">
            <w:rPr>
              <w:rFonts w:ascii="Calibri" w:eastAsia="Calibri" w:hAnsi="Calibri" w:cs="Calibri"/>
              <w:sz w:val="22"/>
            </w:rPr>
            <w:tab/>
          </w:r>
        </w:p>
        <w:p w14:paraId="22C046C4" w14:textId="77777777" w:rsidR="00D2238D" w:rsidRPr="00D2238D" w:rsidRDefault="005E371B" w:rsidP="00D2238D">
          <w:pPr>
            <w:pStyle w:val="ListParagraph"/>
            <w:spacing w:after="0" w:line="335" w:lineRule="auto"/>
            <w:ind w:left="855" w:firstLine="0"/>
            <w:rPr>
              <w:b/>
            </w:rPr>
          </w:pPr>
          <w:r>
            <w:t>Abbreviations ..........................................</w:t>
          </w:r>
          <w:r>
            <w:t>2.0</w:t>
          </w:r>
          <w:r w:rsidRPr="00D2238D">
            <w:rPr>
              <w:rFonts w:ascii="Calibri" w:eastAsia="Calibri" w:hAnsi="Calibri" w:cs="Calibri"/>
              <w:sz w:val="22"/>
            </w:rPr>
            <w:t xml:space="preserve"> </w:t>
          </w:r>
        </w:p>
        <w:p w14:paraId="2460768D" w14:textId="5A016353" w:rsidR="00684C5D" w:rsidRDefault="005E371B" w:rsidP="00D2238D">
          <w:pPr>
            <w:pStyle w:val="ListParagraph"/>
            <w:numPr>
              <w:ilvl w:val="0"/>
              <w:numId w:val="2"/>
            </w:numPr>
            <w:tabs>
              <w:tab w:val="right" w:leader="dot" w:pos="9363"/>
            </w:tabs>
            <w:spacing w:after="0" w:line="335" w:lineRule="auto"/>
          </w:pPr>
          <w:r>
            <w:t>GLOSSARY ...............................................</w:t>
          </w:r>
          <w:r>
            <w:fldChar w:fldCharType="begin"/>
          </w:r>
          <w:r>
            <w:instrText xml:space="preserve"> TOC \o </w:instrText>
          </w:r>
          <w:r>
            <w:instrText xml:space="preserve">"1-1" \h \z \u </w:instrText>
          </w:r>
          <w:r>
            <w:fldChar w:fldCharType="separate"/>
          </w:r>
          <w:hyperlink w:anchor="_Toc8169">
            <w:r>
              <w:t>3.0</w:t>
            </w:r>
            <w:r w:rsidRPr="00D2238D">
              <w:rPr>
                <w:rFonts w:ascii="Calibri" w:eastAsia="Calibri" w:hAnsi="Calibri" w:cs="Calibri"/>
                <w:sz w:val="22"/>
              </w:rPr>
              <w:t xml:space="preserve"> </w:t>
            </w:r>
            <w:r>
              <w:t>REQUIREMENTS</w:t>
            </w:r>
            <w:r>
              <w:tab/>
            </w:r>
            <w:r>
              <w:fldChar w:fldCharType="begin"/>
            </w:r>
            <w:r>
              <w:instrText>PAGEREF _Toc8169 \h</w:instrText>
            </w:r>
            <w:r>
              <w:fldChar w:fldCharType="separate"/>
            </w:r>
            <w:r>
              <w:t xml:space="preserve">2 </w:t>
            </w:r>
            <w:r>
              <w:fldChar w:fldCharType="end"/>
            </w:r>
          </w:hyperlink>
        </w:p>
        <w:p w14:paraId="23B0C6C8" w14:textId="77777777" w:rsidR="00684C5D" w:rsidRDefault="005E371B">
          <w:pPr>
            <w:pStyle w:val="TOC1"/>
            <w:tabs>
              <w:tab w:val="right" w:leader="dot" w:pos="9363"/>
            </w:tabs>
          </w:pPr>
          <w:hyperlink w:anchor="_Toc8170">
            <w:r>
              <w:t>3.1</w:t>
            </w:r>
            <w:r>
              <w:rPr>
                <w:rFonts w:ascii="Calibri" w:eastAsia="Calibri" w:hAnsi="Calibri" w:cs="Calibri"/>
                <w:sz w:val="22"/>
              </w:rPr>
              <w:t xml:space="preserve">  </w:t>
            </w:r>
            <w:r>
              <w:t>General Requirements</w:t>
            </w:r>
            <w:r>
              <w:tab/>
            </w:r>
            <w:r>
              <w:fldChar w:fldCharType="begin"/>
            </w:r>
            <w:r>
              <w:instrText>PAGEREF _Toc8170 \h</w:instrText>
            </w:r>
            <w:r>
              <w:fldChar w:fldCharType="separate"/>
            </w:r>
            <w:r>
              <w:t xml:space="preserve">2 </w:t>
            </w:r>
            <w:r>
              <w:fldChar w:fldCharType="end"/>
            </w:r>
          </w:hyperlink>
        </w:p>
        <w:p w14:paraId="4FC6AC0A" w14:textId="77777777" w:rsidR="00684C5D" w:rsidRDefault="005E371B">
          <w:pPr>
            <w:pStyle w:val="TOC1"/>
            <w:tabs>
              <w:tab w:val="right" w:leader="dot" w:pos="9363"/>
            </w:tabs>
          </w:pPr>
          <w:hyperlink w:anchor="_Toc8171">
            <w:r>
              <w:t>3.2</w:t>
            </w:r>
            <w:r>
              <w:rPr>
                <w:rFonts w:ascii="Calibri" w:eastAsia="Calibri" w:hAnsi="Calibri" w:cs="Calibri"/>
                <w:sz w:val="22"/>
              </w:rPr>
              <w:t xml:space="preserve">  </w:t>
            </w:r>
            <w:r>
              <w:t>Applying for Expor</w:t>
            </w:r>
            <w:r>
              <w:t>t/Clearance Permit</w:t>
            </w:r>
            <w:r>
              <w:tab/>
            </w:r>
            <w:r>
              <w:fldChar w:fldCharType="begin"/>
            </w:r>
            <w:r>
              <w:instrText>PAGEREF _Toc8171 \h</w:instrText>
            </w:r>
            <w:r>
              <w:fldChar w:fldCharType="separate"/>
            </w:r>
            <w:r>
              <w:t xml:space="preserve">4 </w:t>
            </w:r>
            <w:r>
              <w:fldChar w:fldCharType="end"/>
            </w:r>
          </w:hyperlink>
        </w:p>
        <w:p w14:paraId="13C2DD1E" w14:textId="77777777" w:rsidR="00684C5D" w:rsidRDefault="005E371B">
          <w:pPr>
            <w:pStyle w:val="TOC1"/>
            <w:tabs>
              <w:tab w:val="right" w:leader="dot" w:pos="9363"/>
            </w:tabs>
          </w:pPr>
          <w:hyperlink w:anchor="_Toc8172">
            <w:r>
              <w:t>4.0</w:t>
            </w:r>
            <w:r>
              <w:rPr>
                <w:rFonts w:ascii="Calibri" w:eastAsia="Calibri" w:hAnsi="Calibri" w:cs="Calibri"/>
                <w:sz w:val="22"/>
              </w:rPr>
              <w:t xml:space="preserve"> </w:t>
            </w:r>
            <w:r>
              <w:t>SANCTIONS AND PENALTIES</w:t>
            </w:r>
            <w:r>
              <w:tab/>
            </w:r>
            <w:r>
              <w:fldChar w:fldCharType="begin"/>
            </w:r>
            <w:r>
              <w:instrText>PAGEREF _Toc8172 \h</w:instrText>
            </w:r>
            <w:r>
              <w:fldChar w:fldCharType="separate"/>
            </w:r>
            <w:r>
              <w:t xml:space="preserve">5 </w:t>
            </w:r>
            <w:r>
              <w:fldChar w:fldCharType="end"/>
            </w:r>
          </w:hyperlink>
        </w:p>
        <w:p w14:paraId="35A98770" w14:textId="77777777" w:rsidR="00684C5D" w:rsidRDefault="005E371B">
          <w:r>
            <w:fldChar w:fldCharType="end"/>
          </w:r>
        </w:p>
      </w:sdtContent>
    </w:sdt>
    <w:p w14:paraId="43BDAEBA" w14:textId="77777777" w:rsidR="00684C5D" w:rsidRDefault="005E371B">
      <w:pPr>
        <w:spacing w:line="334" w:lineRule="auto"/>
      </w:pPr>
      <w:r>
        <w:t>5</w:t>
      </w:r>
      <w:r>
        <w:t>.</w:t>
      </w:r>
      <w:r>
        <w:t>0</w:t>
      </w:r>
      <w:r>
        <w:rPr>
          <w:rFonts w:ascii="Calibri" w:eastAsia="Calibri" w:hAnsi="Calibri" w:cs="Calibri"/>
          <w:sz w:val="22"/>
        </w:rPr>
        <w:t xml:space="preserve"> </w:t>
      </w:r>
      <w:r>
        <w:t>APPENDIX ............................................................................................................... 6</w:t>
      </w:r>
      <w:r>
        <w:rPr>
          <w:rFonts w:ascii="Calibri" w:eastAsia="Calibri" w:hAnsi="Calibri" w:cs="Calibri"/>
          <w:sz w:val="22"/>
        </w:rPr>
        <w:t xml:space="preserve"> </w:t>
      </w:r>
    </w:p>
    <w:p w14:paraId="5EE4E3A5" w14:textId="77777777" w:rsidR="00684C5D" w:rsidRDefault="005E371B">
      <w:pPr>
        <w:spacing w:after="0" w:line="259" w:lineRule="auto"/>
        <w:ind w:left="0" w:firstLine="0"/>
        <w:jc w:val="left"/>
      </w:pPr>
      <w:r>
        <w:rPr>
          <w:b/>
        </w:rPr>
        <w:t xml:space="preserve"> </w:t>
      </w:r>
    </w:p>
    <w:p w14:paraId="0DFE1520" w14:textId="77777777" w:rsidR="00684C5D" w:rsidRDefault="005E371B">
      <w:pPr>
        <w:spacing w:after="2" w:line="450" w:lineRule="auto"/>
        <w:ind w:left="0" w:right="9296" w:firstLine="0"/>
        <w:jc w:val="left"/>
      </w:pPr>
      <w:r>
        <w:t xml:space="preserve">     </w:t>
      </w:r>
    </w:p>
    <w:p w14:paraId="677D1A7B" w14:textId="77777777" w:rsidR="00684C5D" w:rsidRDefault="005E371B">
      <w:pPr>
        <w:spacing w:after="5273" w:line="259" w:lineRule="auto"/>
        <w:ind w:left="0" w:firstLine="0"/>
        <w:jc w:val="left"/>
      </w:pPr>
      <w:r>
        <w:t xml:space="preserve"> </w:t>
      </w:r>
    </w:p>
    <w:p w14:paraId="456DC0D1" w14:textId="77777777" w:rsidR="00684C5D" w:rsidRDefault="005E371B">
      <w:pPr>
        <w:spacing w:after="0" w:line="239" w:lineRule="auto"/>
        <w:ind w:left="0" w:right="4508" w:firstLine="4604"/>
        <w:jc w:val="left"/>
      </w:pPr>
      <w:r>
        <w:rPr>
          <w:rFonts w:ascii="Calibri" w:eastAsia="Calibri" w:hAnsi="Calibri" w:cs="Calibri"/>
          <w:sz w:val="22"/>
        </w:rPr>
        <w:t xml:space="preserve"> ii   </w:t>
      </w:r>
    </w:p>
    <w:p w14:paraId="1E8AED7E" w14:textId="77777777" w:rsidR="00684C5D" w:rsidRDefault="00684C5D">
      <w:pPr>
        <w:sectPr w:rsidR="00684C5D">
          <w:headerReference w:type="even" r:id="rId8"/>
          <w:headerReference w:type="default" r:id="rId9"/>
          <w:footerReference w:type="even" r:id="rId10"/>
          <w:footerReference w:type="default" r:id="rId11"/>
          <w:headerReference w:type="first" r:id="rId12"/>
          <w:footerReference w:type="first" r:id="rId13"/>
          <w:pgSz w:w="12240" w:h="15840"/>
          <w:pgMar w:top="728" w:right="1437" w:bottom="1081" w:left="1440" w:header="720" w:footer="720" w:gutter="0"/>
          <w:cols w:space="720"/>
        </w:sectPr>
      </w:pPr>
    </w:p>
    <w:p w14:paraId="52C5ACE6" w14:textId="77777777" w:rsidR="00684C5D" w:rsidRDefault="005E371B">
      <w:pPr>
        <w:pStyle w:val="Heading2"/>
        <w:tabs>
          <w:tab w:val="center" w:pos="562"/>
          <w:tab w:val="center" w:pos="2001"/>
        </w:tabs>
        <w:ind w:left="0" w:firstLine="0"/>
      </w:pPr>
      <w:r>
        <w:rPr>
          <w:rFonts w:ascii="Calibri" w:eastAsia="Calibri" w:hAnsi="Calibri" w:cs="Calibri"/>
          <w:b w:val="0"/>
          <w:sz w:val="22"/>
        </w:rPr>
        <w:lastRenderedPageBreak/>
        <w:tab/>
      </w:r>
      <w:r>
        <w:t xml:space="preserve">1.0. </w:t>
      </w:r>
      <w:r>
        <w:tab/>
        <w:t xml:space="preserve">INTRODUCTION </w:t>
      </w:r>
    </w:p>
    <w:p w14:paraId="0486E141" w14:textId="77777777" w:rsidR="00684C5D" w:rsidRDefault="005E371B">
      <w:pPr>
        <w:spacing w:after="0" w:line="259" w:lineRule="auto"/>
        <w:ind w:left="360" w:firstLine="0"/>
        <w:jc w:val="left"/>
      </w:pPr>
      <w:r>
        <w:rPr>
          <w:b/>
        </w:rPr>
        <w:t xml:space="preserve"> </w:t>
      </w:r>
    </w:p>
    <w:p w14:paraId="457C2B18" w14:textId="77777777" w:rsidR="00684C5D" w:rsidRDefault="005E371B">
      <w:pPr>
        <w:ind w:left="370"/>
      </w:pPr>
      <w:r>
        <w:t>Effective regulation of the importation and exportation of internationally traded goods is key in ensuring the protection of the health and safety of consumers around the world. Clearance of fresh fruits and vegetables for export, as carried out by the Foo</w:t>
      </w:r>
      <w:r>
        <w:t>d and Drugs Authority (FDA) at the port, typically involves permit issuance and inspection, both of which are mandated by the Public Health Act, Act 851 of 2012, as a measure to check potential foodborne diseases associated with the consumption of imported</w:t>
      </w:r>
      <w:r>
        <w:t xml:space="preserve"> fresh fruits and vegetables. </w:t>
      </w:r>
    </w:p>
    <w:p w14:paraId="478DFF33" w14:textId="77777777" w:rsidR="00684C5D" w:rsidRDefault="005E371B">
      <w:pPr>
        <w:spacing w:after="0" w:line="259" w:lineRule="auto"/>
        <w:ind w:left="360" w:firstLine="0"/>
        <w:jc w:val="left"/>
      </w:pPr>
      <w:r>
        <w:t xml:space="preserve"> </w:t>
      </w:r>
    </w:p>
    <w:p w14:paraId="2D842C4F" w14:textId="77777777" w:rsidR="00684C5D" w:rsidRDefault="005E371B">
      <w:pPr>
        <w:ind w:left="370"/>
      </w:pPr>
      <w:r>
        <w:t xml:space="preserve">These guidelines outline the processes and procedures involved in the application for and issuance of electronic permits as well as the inspection and release of consignments of fresh fruits and vegetables.  </w:t>
      </w:r>
    </w:p>
    <w:p w14:paraId="42A491F0" w14:textId="77777777" w:rsidR="00684C5D" w:rsidRDefault="005E371B">
      <w:pPr>
        <w:spacing w:after="0" w:line="259" w:lineRule="auto"/>
        <w:ind w:left="360" w:firstLine="0"/>
        <w:jc w:val="left"/>
      </w:pPr>
      <w:r>
        <w:t xml:space="preserve"> </w:t>
      </w:r>
    </w:p>
    <w:p w14:paraId="3E7F89B7" w14:textId="77777777" w:rsidR="00684C5D" w:rsidRDefault="005E371B">
      <w:pPr>
        <w:spacing w:line="250" w:lineRule="auto"/>
        <w:ind w:left="370"/>
        <w:jc w:val="left"/>
      </w:pPr>
      <w:r>
        <w:rPr>
          <w:b/>
        </w:rPr>
        <w:t>These guidel</w:t>
      </w:r>
      <w:r>
        <w:rPr>
          <w:b/>
        </w:rPr>
        <w:t xml:space="preserve">ines are hereby promulgated for information, guidance and strict adherence by all concerned </w:t>
      </w:r>
    </w:p>
    <w:p w14:paraId="3DD3100A" w14:textId="77777777" w:rsidR="00684C5D" w:rsidRDefault="005E371B">
      <w:pPr>
        <w:spacing w:after="259" w:line="259" w:lineRule="auto"/>
        <w:ind w:left="360" w:firstLine="0"/>
        <w:jc w:val="left"/>
      </w:pPr>
      <w:r>
        <w:t xml:space="preserve"> </w:t>
      </w:r>
    </w:p>
    <w:p w14:paraId="651B3250" w14:textId="77777777" w:rsidR="00684C5D" w:rsidRDefault="005E371B">
      <w:pPr>
        <w:pStyle w:val="Heading2"/>
        <w:tabs>
          <w:tab w:val="center" w:pos="562"/>
          <w:tab w:val="center" w:pos="1441"/>
        </w:tabs>
        <w:spacing w:after="55"/>
        <w:ind w:left="0" w:firstLine="0"/>
      </w:pPr>
      <w:r>
        <w:rPr>
          <w:rFonts w:ascii="Calibri" w:eastAsia="Calibri" w:hAnsi="Calibri" w:cs="Calibri"/>
          <w:b w:val="0"/>
          <w:sz w:val="22"/>
        </w:rPr>
        <w:tab/>
      </w:r>
      <w:r>
        <w:t xml:space="preserve">1.1. </w:t>
      </w:r>
      <w:r>
        <w:tab/>
        <w:t xml:space="preserve">Scope </w:t>
      </w:r>
    </w:p>
    <w:p w14:paraId="5F66095E" w14:textId="77777777" w:rsidR="00684C5D" w:rsidRDefault="005E371B">
      <w:pPr>
        <w:spacing w:after="0" w:line="259" w:lineRule="auto"/>
        <w:ind w:left="360" w:firstLine="0"/>
        <w:jc w:val="left"/>
      </w:pPr>
      <w:r>
        <w:t xml:space="preserve"> </w:t>
      </w:r>
    </w:p>
    <w:p w14:paraId="688240F9" w14:textId="77777777" w:rsidR="00684C5D" w:rsidRDefault="005E371B">
      <w:pPr>
        <w:ind w:left="370"/>
      </w:pPr>
      <w:r>
        <w:t>In the exercise of the powers conferred on the Food and Drugs Authority by Part 7, section 99 of the Public Health Act, Act 851 of 2012 and in or</w:t>
      </w:r>
      <w:r>
        <w:t xml:space="preserve">der to ensure the safety and quality of fresh fruits and vegetables as required by the Code of Hygienic Practice for fresh Fruits and Vegetables (CAC/RCP 53-2003) and the Code of Practice for Packaging and Transport of Fresh Fruits and Vegetables (CAC/RCP </w:t>
      </w:r>
      <w:r>
        <w:t xml:space="preserve">44-1995); these guidelines apply to all consignments of fresh fruits and vegetables earmarked for export for distribution or offer for sale for human or animal consumption.  </w:t>
      </w:r>
    </w:p>
    <w:p w14:paraId="68038AE3" w14:textId="77777777" w:rsidR="00684C5D" w:rsidRDefault="005E371B">
      <w:pPr>
        <w:spacing w:after="0" w:line="259" w:lineRule="auto"/>
        <w:ind w:left="360" w:firstLine="0"/>
        <w:jc w:val="left"/>
      </w:pPr>
      <w:r>
        <w:t xml:space="preserve"> </w:t>
      </w:r>
    </w:p>
    <w:p w14:paraId="6AF41F06" w14:textId="77777777" w:rsidR="00684C5D" w:rsidRDefault="005E371B">
      <w:pPr>
        <w:ind w:left="370"/>
      </w:pPr>
      <w:r>
        <w:t>The purpose of these guidelines is to provide exporters of fresh fruits and vegetables guidance in meeting the legal and regulatory requirements of the Food and Drugs Authority (FDA) in order to avoid or reduce rejection (re-export) and/or food safety risk</w:t>
      </w:r>
      <w:r>
        <w:t xml:space="preserve">s associated with the consumption of fresh fruits and vegetables. </w:t>
      </w:r>
    </w:p>
    <w:p w14:paraId="32570CFC" w14:textId="77777777" w:rsidR="00684C5D" w:rsidRDefault="005E371B">
      <w:pPr>
        <w:spacing w:after="0" w:line="259" w:lineRule="auto"/>
        <w:ind w:left="360" w:firstLine="0"/>
        <w:jc w:val="left"/>
      </w:pPr>
      <w:r>
        <w:rPr>
          <w:b/>
        </w:rPr>
        <w:t xml:space="preserve"> </w:t>
      </w:r>
    </w:p>
    <w:p w14:paraId="5099F74A" w14:textId="77777777" w:rsidR="00684C5D" w:rsidRDefault="005E371B">
      <w:pPr>
        <w:pStyle w:val="Heading2"/>
        <w:tabs>
          <w:tab w:val="center" w:pos="562"/>
          <w:tab w:val="center" w:pos="1882"/>
        </w:tabs>
        <w:spacing w:after="115"/>
        <w:ind w:left="0" w:firstLine="0"/>
      </w:pPr>
      <w:r>
        <w:rPr>
          <w:rFonts w:ascii="Calibri" w:eastAsia="Calibri" w:hAnsi="Calibri" w:cs="Calibri"/>
          <w:b w:val="0"/>
          <w:sz w:val="22"/>
        </w:rPr>
        <w:tab/>
      </w:r>
      <w:r>
        <w:t xml:space="preserve">1.2. </w:t>
      </w:r>
      <w:r>
        <w:tab/>
        <w:t xml:space="preserve">Abbreviations </w:t>
      </w:r>
    </w:p>
    <w:p w14:paraId="3DB0A042" w14:textId="77777777" w:rsidR="00684C5D" w:rsidRDefault="005E371B">
      <w:pPr>
        <w:tabs>
          <w:tab w:val="center" w:pos="1320"/>
          <w:tab w:val="center" w:pos="3886"/>
        </w:tabs>
        <w:spacing w:after="116"/>
        <w:ind w:left="0" w:firstLine="0"/>
        <w:jc w:val="left"/>
      </w:pPr>
      <w:r>
        <w:rPr>
          <w:rFonts w:ascii="Calibri" w:eastAsia="Calibri" w:hAnsi="Calibri" w:cs="Calibri"/>
          <w:sz w:val="22"/>
        </w:rPr>
        <w:tab/>
      </w:r>
      <w:proofErr w:type="gramStart"/>
      <w:r>
        <w:t xml:space="preserve">FDA  </w:t>
      </w:r>
      <w:r>
        <w:tab/>
      </w:r>
      <w:proofErr w:type="gramEnd"/>
      <w:r>
        <w:t xml:space="preserve">Food and Drugs Authority </w:t>
      </w:r>
    </w:p>
    <w:p w14:paraId="3C00DDAB" w14:textId="77777777" w:rsidR="00684C5D" w:rsidRDefault="005E371B">
      <w:pPr>
        <w:tabs>
          <w:tab w:val="center" w:pos="1414"/>
          <w:tab w:val="center" w:pos="5053"/>
        </w:tabs>
        <w:spacing w:after="116"/>
        <w:ind w:left="0" w:firstLine="0"/>
        <w:jc w:val="left"/>
      </w:pPr>
      <w:r>
        <w:rPr>
          <w:rFonts w:ascii="Calibri" w:eastAsia="Calibri" w:hAnsi="Calibri" w:cs="Calibri"/>
          <w:sz w:val="22"/>
        </w:rPr>
        <w:tab/>
      </w:r>
      <w:proofErr w:type="spellStart"/>
      <w:proofErr w:type="gramStart"/>
      <w:r>
        <w:t>eMDA</w:t>
      </w:r>
      <w:proofErr w:type="spellEnd"/>
      <w:r>
        <w:t xml:space="preserve">  </w:t>
      </w:r>
      <w:r>
        <w:tab/>
      </w:r>
      <w:proofErr w:type="gramEnd"/>
      <w:r>
        <w:t xml:space="preserve">electronic Ministries Departments and Agencies </w:t>
      </w:r>
    </w:p>
    <w:p w14:paraId="0844ACDC" w14:textId="77777777" w:rsidR="00684C5D" w:rsidRDefault="005E371B">
      <w:pPr>
        <w:tabs>
          <w:tab w:val="center" w:pos="1447"/>
          <w:tab w:val="center" w:pos="4488"/>
        </w:tabs>
        <w:spacing w:after="116"/>
        <w:ind w:left="0" w:firstLine="0"/>
        <w:jc w:val="left"/>
      </w:pPr>
      <w:r>
        <w:rPr>
          <w:rFonts w:ascii="Calibri" w:eastAsia="Calibri" w:hAnsi="Calibri" w:cs="Calibri"/>
          <w:sz w:val="22"/>
        </w:rPr>
        <w:tab/>
      </w:r>
      <w:proofErr w:type="spellStart"/>
      <w:r>
        <w:t>GCNet</w:t>
      </w:r>
      <w:proofErr w:type="spellEnd"/>
      <w:r>
        <w:t xml:space="preserve"> </w:t>
      </w:r>
      <w:r>
        <w:tab/>
        <w:t xml:space="preserve">Ghana Community Network Services </w:t>
      </w:r>
    </w:p>
    <w:p w14:paraId="4DA82F31" w14:textId="77777777" w:rsidR="00684C5D" w:rsidRDefault="005E371B">
      <w:pPr>
        <w:tabs>
          <w:tab w:val="center" w:pos="1628"/>
          <w:tab w:val="center" w:pos="3981"/>
        </w:tabs>
        <w:spacing w:after="116"/>
        <w:ind w:left="0" w:firstLine="0"/>
        <w:jc w:val="left"/>
      </w:pPr>
      <w:r>
        <w:rPr>
          <w:rFonts w:ascii="Calibri" w:eastAsia="Calibri" w:hAnsi="Calibri" w:cs="Calibri"/>
          <w:sz w:val="22"/>
        </w:rPr>
        <w:tab/>
      </w:r>
      <w:r>
        <w:t xml:space="preserve">HS Codes </w:t>
      </w:r>
      <w:r>
        <w:tab/>
      </w:r>
      <w:proofErr w:type="spellStart"/>
      <w:r>
        <w:t>Harmonised</w:t>
      </w:r>
      <w:proofErr w:type="spellEnd"/>
      <w:r>
        <w:t xml:space="preserve"> System Codes</w:t>
      </w:r>
      <w:r>
        <w:t xml:space="preserve"> </w:t>
      </w:r>
    </w:p>
    <w:p w14:paraId="48273847" w14:textId="77777777" w:rsidR="00684C5D" w:rsidRDefault="005E371B">
      <w:pPr>
        <w:spacing w:after="0" w:line="259" w:lineRule="auto"/>
        <w:ind w:left="360" w:firstLine="0"/>
        <w:jc w:val="left"/>
      </w:pPr>
      <w:r>
        <w:rPr>
          <w:b/>
        </w:rPr>
        <w:t xml:space="preserve"> </w:t>
      </w:r>
    </w:p>
    <w:p w14:paraId="23A6CE97" w14:textId="77777777" w:rsidR="00684C5D" w:rsidRDefault="005E371B">
      <w:pPr>
        <w:spacing w:after="0" w:line="259" w:lineRule="auto"/>
        <w:ind w:left="360" w:firstLine="0"/>
        <w:jc w:val="left"/>
      </w:pPr>
      <w:r>
        <w:rPr>
          <w:b/>
        </w:rPr>
        <w:lastRenderedPageBreak/>
        <w:t xml:space="preserve"> </w:t>
      </w:r>
    </w:p>
    <w:p w14:paraId="515045AE" w14:textId="77777777" w:rsidR="00684C5D" w:rsidRDefault="005E371B">
      <w:pPr>
        <w:spacing w:after="0" w:line="259" w:lineRule="auto"/>
        <w:ind w:left="360" w:firstLine="0"/>
        <w:jc w:val="left"/>
      </w:pPr>
      <w:r>
        <w:rPr>
          <w:b/>
        </w:rPr>
        <w:t xml:space="preserve"> </w:t>
      </w:r>
    </w:p>
    <w:p w14:paraId="0F8E015A" w14:textId="77777777" w:rsidR="00684C5D" w:rsidRDefault="005E371B">
      <w:pPr>
        <w:pStyle w:val="Heading2"/>
        <w:tabs>
          <w:tab w:val="center" w:pos="1394"/>
        </w:tabs>
        <w:ind w:left="-15" w:firstLine="0"/>
      </w:pPr>
      <w:r>
        <w:t xml:space="preserve">2.0. </w:t>
      </w:r>
      <w:r>
        <w:tab/>
        <w:t xml:space="preserve">GLOSSARY </w:t>
      </w:r>
    </w:p>
    <w:p w14:paraId="55D684B4" w14:textId="77777777" w:rsidR="00684C5D" w:rsidRDefault="005E371B">
      <w:pPr>
        <w:spacing w:after="0" w:line="259" w:lineRule="auto"/>
        <w:ind w:left="360" w:firstLine="0"/>
        <w:jc w:val="left"/>
      </w:pPr>
      <w:r>
        <w:t xml:space="preserve"> </w:t>
      </w:r>
    </w:p>
    <w:p w14:paraId="21ADD146" w14:textId="77777777" w:rsidR="00684C5D" w:rsidRDefault="005E371B">
      <w:pPr>
        <w:ind w:left="370"/>
      </w:pPr>
      <w:r>
        <w:t xml:space="preserve">For the purpose of these guidelines, unless the context otherwise requires,  </w:t>
      </w:r>
    </w:p>
    <w:p w14:paraId="244222C7" w14:textId="77777777" w:rsidR="00684C5D" w:rsidRDefault="005E371B">
      <w:pPr>
        <w:spacing w:after="18" w:line="259" w:lineRule="auto"/>
        <w:ind w:left="360" w:firstLine="0"/>
        <w:jc w:val="left"/>
      </w:pPr>
      <w:r>
        <w:t xml:space="preserve"> </w:t>
      </w:r>
    </w:p>
    <w:p w14:paraId="183CF68D" w14:textId="77777777" w:rsidR="00684C5D" w:rsidRDefault="005E371B">
      <w:pPr>
        <w:ind w:left="370"/>
      </w:pPr>
      <w:r>
        <w:t>“</w:t>
      </w:r>
      <w:r>
        <w:rPr>
          <w:b/>
          <w:i/>
        </w:rPr>
        <w:t>label</w:t>
      </w:r>
      <w:r>
        <w:t xml:space="preserve">” means any tag, brand, mark, pictorial or other descriptive matter, written, printed, </w:t>
      </w:r>
      <w:proofErr w:type="spellStart"/>
      <w:r>
        <w:t>stencilled</w:t>
      </w:r>
      <w:proofErr w:type="spellEnd"/>
      <w:r>
        <w:t xml:space="preserve">, marked, embossed or impressed on, or attached to, a container of food; </w:t>
      </w:r>
    </w:p>
    <w:p w14:paraId="75CB32EC" w14:textId="77777777" w:rsidR="00684C5D" w:rsidRDefault="005E371B">
      <w:pPr>
        <w:spacing w:after="0" w:line="259" w:lineRule="auto"/>
        <w:ind w:left="360" w:firstLine="0"/>
        <w:jc w:val="left"/>
      </w:pPr>
      <w:r>
        <w:t xml:space="preserve"> </w:t>
      </w:r>
    </w:p>
    <w:p w14:paraId="0F6D6E51" w14:textId="77777777" w:rsidR="00684C5D" w:rsidRDefault="005E371B">
      <w:pPr>
        <w:ind w:left="370"/>
      </w:pPr>
      <w:r>
        <w:rPr>
          <w:b/>
          <w:i/>
        </w:rPr>
        <w:t xml:space="preserve">“non-compliant/non-conforming product” </w:t>
      </w:r>
      <w:r>
        <w:t>means any or all of these; product is unregi</w:t>
      </w:r>
      <w:r>
        <w:t>stered, unwholesome, banned, has too short a shelf life or does not conform to labelling rules.</w:t>
      </w:r>
      <w:r>
        <w:rPr>
          <w:b/>
          <w:i/>
        </w:rPr>
        <w:t xml:space="preserve"> </w:t>
      </w:r>
    </w:p>
    <w:p w14:paraId="742DC029" w14:textId="77777777" w:rsidR="00684C5D" w:rsidRDefault="005E371B">
      <w:pPr>
        <w:spacing w:after="0" w:line="259" w:lineRule="auto"/>
        <w:ind w:left="360" w:firstLine="0"/>
        <w:jc w:val="left"/>
      </w:pPr>
      <w:r>
        <w:t xml:space="preserve"> </w:t>
      </w:r>
    </w:p>
    <w:p w14:paraId="1A31E194" w14:textId="77777777" w:rsidR="00684C5D" w:rsidRDefault="005E371B">
      <w:pPr>
        <w:ind w:left="370"/>
      </w:pPr>
      <w:r>
        <w:t>“</w:t>
      </w:r>
      <w:r>
        <w:rPr>
          <w:b/>
          <w:i/>
        </w:rPr>
        <w:t>fresh fruits and vegetables</w:t>
      </w:r>
      <w:r>
        <w:t xml:space="preserve">” </w:t>
      </w:r>
      <w:proofErr w:type="gramStart"/>
      <w:r>
        <w:t>means</w:t>
      </w:r>
      <w:proofErr w:type="gramEnd"/>
      <w:r>
        <w:t xml:space="preserve"> fruits and vegetables supplied fresh to the consumer after preparation (in whole and/or pre-cut) and packaging, and are i</w:t>
      </w:r>
      <w:r>
        <w:t xml:space="preserve">ntended to be consumed without cooking; </w:t>
      </w:r>
    </w:p>
    <w:p w14:paraId="06A7A7D6" w14:textId="77777777" w:rsidR="00684C5D" w:rsidRDefault="005E371B">
      <w:pPr>
        <w:spacing w:after="0" w:line="259" w:lineRule="auto"/>
        <w:ind w:left="360" w:firstLine="0"/>
        <w:jc w:val="left"/>
      </w:pPr>
      <w:r>
        <w:t xml:space="preserve"> </w:t>
      </w:r>
    </w:p>
    <w:p w14:paraId="68DE71A4" w14:textId="77777777" w:rsidR="00684C5D" w:rsidRDefault="005E371B">
      <w:pPr>
        <w:ind w:left="370"/>
      </w:pPr>
      <w:r>
        <w:t>“</w:t>
      </w:r>
      <w:r>
        <w:rPr>
          <w:b/>
          <w:i/>
        </w:rPr>
        <w:t>rejected food product</w:t>
      </w:r>
      <w:r>
        <w:t xml:space="preserve">” means the product </w:t>
      </w:r>
      <w:r>
        <w:t xml:space="preserve">was deemed unfit to be distributed, sold or used in the country for reasons which may include the physical, chemical and/or microbiological hazard it poses, or the product is banned; and </w:t>
      </w:r>
    </w:p>
    <w:p w14:paraId="38BA838F" w14:textId="77777777" w:rsidR="00684C5D" w:rsidRDefault="005E371B">
      <w:pPr>
        <w:spacing w:after="0" w:line="259" w:lineRule="auto"/>
        <w:ind w:left="360" w:firstLine="0"/>
        <w:jc w:val="left"/>
      </w:pPr>
      <w:r>
        <w:t xml:space="preserve">  </w:t>
      </w:r>
    </w:p>
    <w:p w14:paraId="6655DCC3" w14:textId="77777777" w:rsidR="00684C5D" w:rsidRDefault="005E371B">
      <w:pPr>
        <w:spacing w:after="111"/>
        <w:ind w:left="370"/>
      </w:pPr>
      <w:r>
        <w:rPr>
          <w:b/>
          <w:i/>
        </w:rPr>
        <w:t xml:space="preserve">“requirements” </w:t>
      </w:r>
      <w:r>
        <w:t>means the criteria relating to trade in food, cove</w:t>
      </w:r>
      <w:r>
        <w:t xml:space="preserve">ring the protection of public health, the protection of consumers and conditions of fair trade. </w:t>
      </w:r>
    </w:p>
    <w:p w14:paraId="0703208D" w14:textId="77777777" w:rsidR="00684C5D" w:rsidRDefault="005E371B">
      <w:pPr>
        <w:spacing w:after="98" w:line="259" w:lineRule="auto"/>
        <w:ind w:left="360" w:firstLine="0"/>
        <w:jc w:val="left"/>
      </w:pPr>
      <w:r>
        <w:t xml:space="preserve"> </w:t>
      </w:r>
    </w:p>
    <w:p w14:paraId="1E04706E" w14:textId="77777777" w:rsidR="00684C5D" w:rsidRDefault="005E371B">
      <w:pPr>
        <w:pStyle w:val="Heading1"/>
        <w:tabs>
          <w:tab w:val="center" w:pos="1688"/>
        </w:tabs>
        <w:ind w:left="-15" w:firstLine="0"/>
      </w:pPr>
      <w:bookmarkStart w:id="1" w:name="_Toc8169"/>
      <w:r>
        <w:t xml:space="preserve">3.0. </w:t>
      </w:r>
      <w:r>
        <w:tab/>
        <w:t xml:space="preserve">REQUIREMENTS </w:t>
      </w:r>
      <w:bookmarkEnd w:id="1"/>
    </w:p>
    <w:p w14:paraId="2B59F013" w14:textId="77777777" w:rsidR="00684C5D" w:rsidRDefault="005E371B">
      <w:pPr>
        <w:spacing w:after="0" w:line="259" w:lineRule="auto"/>
        <w:ind w:left="360" w:firstLine="0"/>
        <w:jc w:val="left"/>
      </w:pPr>
      <w:r>
        <w:rPr>
          <w:b/>
        </w:rPr>
        <w:t xml:space="preserve"> </w:t>
      </w:r>
    </w:p>
    <w:p w14:paraId="345BC0A6" w14:textId="77777777" w:rsidR="00684C5D" w:rsidRDefault="005E371B">
      <w:pPr>
        <w:pStyle w:val="Heading1"/>
        <w:tabs>
          <w:tab w:val="center" w:pos="1282"/>
          <w:tab w:val="center" w:pos="3081"/>
        </w:tabs>
        <w:ind w:left="0" w:firstLine="0"/>
      </w:pPr>
      <w:bookmarkStart w:id="2" w:name="_Toc8170"/>
      <w:r>
        <w:rPr>
          <w:rFonts w:ascii="Calibri" w:eastAsia="Calibri" w:hAnsi="Calibri" w:cs="Calibri"/>
          <w:b w:val="0"/>
          <w:sz w:val="22"/>
        </w:rPr>
        <w:tab/>
      </w:r>
      <w:r>
        <w:t xml:space="preserve">3.1. </w:t>
      </w:r>
      <w:r>
        <w:tab/>
        <w:t xml:space="preserve">General Requirements </w:t>
      </w:r>
      <w:bookmarkEnd w:id="2"/>
    </w:p>
    <w:p w14:paraId="3EFA7F8A" w14:textId="77777777" w:rsidR="00684C5D" w:rsidRDefault="005E371B">
      <w:pPr>
        <w:spacing w:after="0" w:line="259" w:lineRule="auto"/>
        <w:ind w:left="360" w:firstLine="0"/>
        <w:jc w:val="left"/>
      </w:pPr>
      <w:r>
        <w:rPr>
          <w:b/>
        </w:rPr>
        <w:t xml:space="preserve"> </w:t>
      </w:r>
    </w:p>
    <w:p w14:paraId="2AFBA5CE" w14:textId="77777777" w:rsidR="00684C5D" w:rsidRDefault="005E371B">
      <w:pPr>
        <w:ind w:left="2505" w:hanging="720"/>
      </w:pPr>
      <w:r>
        <w:t>3.1.1. Only businesses duly registered by the Registrar-General’s Department shall be permitted to expor</w:t>
      </w:r>
      <w:r>
        <w:t xml:space="preserve">t fresh fruits and vegetables. </w:t>
      </w:r>
    </w:p>
    <w:p w14:paraId="13148D0E" w14:textId="77777777" w:rsidR="00684C5D" w:rsidRDefault="005E371B">
      <w:pPr>
        <w:spacing w:after="0" w:line="259" w:lineRule="auto"/>
        <w:ind w:left="360" w:firstLine="0"/>
        <w:jc w:val="left"/>
      </w:pPr>
      <w:r>
        <w:t xml:space="preserve"> </w:t>
      </w:r>
    </w:p>
    <w:p w14:paraId="167414ED" w14:textId="77777777" w:rsidR="00684C5D" w:rsidRDefault="005E371B">
      <w:pPr>
        <w:ind w:left="2505" w:hanging="720"/>
      </w:pPr>
      <w:r>
        <w:t xml:space="preserve">3.1.2. </w:t>
      </w:r>
      <w:r>
        <w:t xml:space="preserve">The storage facility for the supply of fresh fruits and vegetables must be </w:t>
      </w:r>
      <w:proofErr w:type="spellStart"/>
      <w:r>
        <w:t>licenced</w:t>
      </w:r>
      <w:proofErr w:type="spellEnd"/>
      <w:r>
        <w:t xml:space="preserve"> by the authority in accordance with Part 7, sections 103 and 131 (a) of the of the Public Health Act, Act 851 of 2012. </w:t>
      </w:r>
    </w:p>
    <w:p w14:paraId="7E537C78" w14:textId="77777777" w:rsidR="00684C5D" w:rsidRDefault="005E371B">
      <w:pPr>
        <w:spacing w:after="0" w:line="259" w:lineRule="auto"/>
        <w:ind w:left="1080" w:firstLine="0"/>
        <w:jc w:val="left"/>
      </w:pPr>
      <w:r>
        <w:t xml:space="preserve"> </w:t>
      </w:r>
    </w:p>
    <w:p w14:paraId="63DB0685" w14:textId="77777777" w:rsidR="00684C5D" w:rsidRDefault="005E371B">
      <w:pPr>
        <w:spacing w:after="33"/>
        <w:ind w:left="2505" w:hanging="720"/>
      </w:pPr>
      <w:r>
        <w:t>3.1.3. Exporters shall be required to secure an el</w:t>
      </w:r>
      <w:r>
        <w:t>ectronic permit (</w:t>
      </w:r>
      <w:proofErr w:type="spellStart"/>
      <w:r>
        <w:t>eMDA</w:t>
      </w:r>
      <w:proofErr w:type="spellEnd"/>
      <w:r>
        <w:t xml:space="preserve">) for all consignments of fresh fruits and vegetables via the </w:t>
      </w:r>
      <w:proofErr w:type="spellStart"/>
      <w:r>
        <w:t>GCNet</w:t>
      </w:r>
      <w:proofErr w:type="spellEnd"/>
      <w:r>
        <w:t xml:space="preserve"> prior to exportation. The following information must be submitted at the </w:t>
      </w:r>
    </w:p>
    <w:p w14:paraId="64961121" w14:textId="77777777" w:rsidR="00684C5D" w:rsidRDefault="005E371B">
      <w:pPr>
        <w:spacing w:after="0" w:line="259" w:lineRule="auto"/>
        <w:ind w:right="269"/>
        <w:jc w:val="center"/>
      </w:pPr>
      <w:r>
        <w:t xml:space="preserve">“item details” column on the </w:t>
      </w:r>
      <w:proofErr w:type="spellStart"/>
      <w:r>
        <w:t>eMDA</w:t>
      </w:r>
      <w:proofErr w:type="spellEnd"/>
      <w:r>
        <w:t xml:space="preserve"> portal; </w:t>
      </w:r>
    </w:p>
    <w:p w14:paraId="6C1BFFA5" w14:textId="77777777" w:rsidR="00684C5D" w:rsidRDefault="005E371B">
      <w:pPr>
        <w:spacing w:after="0" w:line="259" w:lineRule="auto"/>
        <w:ind w:left="360" w:firstLine="0"/>
        <w:jc w:val="left"/>
      </w:pPr>
      <w:r>
        <w:t xml:space="preserve">  </w:t>
      </w:r>
    </w:p>
    <w:p w14:paraId="092B42EC" w14:textId="77777777" w:rsidR="00684C5D" w:rsidRDefault="005E371B">
      <w:pPr>
        <w:numPr>
          <w:ilvl w:val="0"/>
          <w:numId w:val="1"/>
        </w:numPr>
        <w:ind w:hanging="360"/>
      </w:pPr>
      <w:r>
        <w:lastRenderedPageBreak/>
        <w:t xml:space="preserve">Full name of the product </w:t>
      </w:r>
    </w:p>
    <w:p w14:paraId="5BB31373" w14:textId="77777777" w:rsidR="00684C5D" w:rsidRDefault="005E371B">
      <w:pPr>
        <w:numPr>
          <w:ilvl w:val="0"/>
          <w:numId w:val="1"/>
        </w:numPr>
        <w:ind w:hanging="360"/>
      </w:pPr>
      <w:r>
        <w:t>Name and contact numb</w:t>
      </w:r>
      <w:r>
        <w:t xml:space="preserve">er of Authorized Person </w:t>
      </w:r>
    </w:p>
    <w:p w14:paraId="7FFE1A0F" w14:textId="77777777" w:rsidR="00684C5D" w:rsidRDefault="005E371B">
      <w:pPr>
        <w:spacing w:after="0" w:line="259" w:lineRule="auto"/>
        <w:ind w:left="360" w:firstLine="0"/>
        <w:jc w:val="left"/>
      </w:pPr>
      <w:r>
        <w:t xml:space="preserve"> </w:t>
      </w:r>
    </w:p>
    <w:p w14:paraId="523AB83F" w14:textId="77777777" w:rsidR="00684C5D" w:rsidRDefault="005E371B">
      <w:pPr>
        <w:spacing w:after="0" w:line="259" w:lineRule="auto"/>
        <w:ind w:left="1080" w:firstLine="0"/>
        <w:jc w:val="left"/>
      </w:pPr>
      <w:r>
        <w:rPr>
          <w:i/>
        </w:rPr>
        <w:t xml:space="preserve"> </w:t>
      </w:r>
    </w:p>
    <w:p w14:paraId="31BB1A09" w14:textId="77777777" w:rsidR="00684C5D" w:rsidRDefault="005E371B">
      <w:pPr>
        <w:ind w:left="2505" w:hanging="720"/>
      </w:pPr>
      <w:r>
        <w:t xml:space="preserve">3.1.4. The following information should also be provided or selected at the appropriate column: </w:t>
      </w:r>
    </w:p>
    <w:p w14:paraId="71E29A3E" w14:textId="77777777" w:rsidR="00684C5D" w:rsidRDefault="005E371B">
      <w:pPr>
        <w:spacing w:after="0" w:line="259" w:lineRule="auto"/>
        <w:ind w:left="360" w:firstLine="0"/>
        <w:jc w:val="left"/>
      </w:pPr>
      <w:r>
        <w:t xml:space="preserve"> </w:t>
      </w:r>
    </w:p>
    <w:p w14:paraId="1D442799" w14:textId="77777777" w:rsidR="00684C5D" w:rsidRDefault="005E371B">
      <w:pPr>
        <w:numPr>
          <w:ilvl w:val="0"/>
          <w:numId w:val="1"/>
        </w:numPr>
        <w:spacing w:after="0" w:line="259" w:lineRule="auto"/>
        <w:ind w:hanging="360"/>
      </w:pPr>
      <w:r>
        <w:t xml:space="preserve">Appropriate HS Code for the product </w:t>
      </w:r>
    </w:p>
    <w:p w14:paraId="5AAFE1C9" w14:textId="77777777" w:rsidR="00684C5D" w:rsidRDefault="005E371B">
      <w:pPr>
        <w:numPr>
          <w:ilvl w:val="0"/>
          <w:numId w:val="1"/>
        </w:numPr>
        <w:spacing w:after="0" w:line="259" w:lineRule="auto"/>
        <w:ind w:hanging="360"/>
      </w:pPr>
      <w:r>
        <w:t xml:space="preserve">Unit of the quantity (ml, L, kg </w:t>
      </w:r>
      <w:proofErr w:type="spellStart"/>
      <w:r>
        <w:t>etc</w:t>
      </w:r>
      <w:proofErr w:type="spellEnd"/>
      <w:r>
        <w:t xml:space="preserve">) </w:t>
      </w:r>
    </w:p>
    <w:p w14:paraId="2875C79E" w14:textId="77777777" w:rsidR="00684C5D" w:rsidRDefault="005E371B">
      <w:pPr>
        <w:numPr>
          <w:ilvl w:val="0"/>
          <w:numId w:val="1"/>
        </w:numPr>
        <w:ind w:hanging="360"/>
      </w:pPr>
      <w:r>
        <w:t>Full Address of Exporter (including location address)</w:t>
      </w:r>
      <w:r>
        <w:t xml:space="preserve"> </w:t>
      </w:r>
    </w:p>
    <w:p w14:paraId="4977CBF1" w14:textId="77777777" w:rsidR="00684C5D" w:rsidRDefault="005E371B">
      <w:pPr>
        <w:numPr>
          <w:ilvl w:val="0"/>
          <w:numId w:val="1"/>
        </w:numPr>
        <w:ind w:hanging="360"/>
      </w:pPr>
      <w:r>
        <w:t xml:space="preserve">Phone #, Fax # and E-mail addresses of both Importer and Exporter  </w:t>
      </w:r>
    </w:p>
    <w:p w14:paraId="13D7CAB3" w14:textId="77777777" w:rsidR="00684C5D" w:rsidRDefault="005E371B">
      <w:pPr>
        <w:numPr>
          <w:ilvl w:val="0"/>
          <w:numId w:val="1"/>
        </w:numPr>
        <w:ind w:hanging="360"/>
      </w:pPr>
      <w:r>
        <w:t xml:space="preserve">Type of Permit: Fresh Fruits and Vegetables </w:t>
      </w:r>
    </w:p>
    <w:p w14:paraId="5887E8F4" w14:textId="77777777" w:rsidR="00684C5D" w:rsidRDefault="005E371B">
      <w:pPr>
        <w:spacing w:after="0" w:line="259" w:lineRule="auto"/>
        <w:ind w:left="720" w:firstLine="0"/>
        <w:jc w:val="left"/>
      </w:pPr>
      <w:r>
        <w:rPr>
          <w:i/>
        </w:rPr>
        <w:t xml:space="preserve"> </w:t>
      </w:r>
    </w:p>
    <w:p w14:paraId="7100ADC2" w14:textId="77777777" w:rsidR="00684C5D" w:rsidRDefault="005E371B">
      <w:pPr>
        <w:spacing w:after="0" w:line="259" w:lineRule="auto"/>
        <w:ind w:left="714" w:firstLine="0"/>
        <w:jc w:val="center"/>
      </w:pPr>
      <w:r>
        <w:rPr>
          <w:b/>
          <w:i/>
        </w:rPr>
        <w:t xml:space="preserve">Response/Feedback </w:t>
      </w:r>
    </w:p>
    <w:p w14:paraId="4216D281" w14:textId="77777777" w:rsidR="00684C5D" w:rsidRDefault="005E371B">
      <w:pPr>
        <w:spacing w:after="0" w:line="240" w:lineRule="auto"/>
        <w:ind w:left="569" w:firstLine="0"/>
        <w:jc w:val="center"/>
      </w:pPr>
      <w:r>
        <w:rPr>
          <w:i/>
        </w:rPr>
        <w:t>The applicant must monitor the status of the application on-</w:t>
      </w:r>
      <w:r>
        <w:rPr>
          <w:i/>
        </w:rPr>
        <w:t xml:space="preserve">line. Applicants are expected to go beyond the track status to approval history by opening the document. </w:t>
      </w:r>
    </w:p>
    <w:p w14:paraId="00966F6A" w14:textId="77777777" w:rsidR="00684C5D" w:rsidRDefault="005E371B">
      <w:pPr>
        <w:spacing w:after="0" w:line="259" w:lineRule="auto"/>
        <w:ind w:left="720" w:firstLine="0"/>
        <w:jc w:val="left"/>
      </w:pPr>
      <w:r>
        <w:rPr>
          <w:b/>
        </w:rPr>
        <w:t xml:space="preserve"> </w:t>
      </w:r>
    </w:p>
    <w:p w14:paraId="263CF31A" w14:textId="77777777" w:rsidR="00684C5D" w:rsidRDefault="005E371B">
      <w:pPr>
        <w:ind w:left="2505" w:hanging="720"/>
      </w:pPr>
      <w:r>
        <w:t>3.1.5. Only approved electronic permits (</w:t>
      </w:r>
      <w:proofErr w:type="spellStart"/>
      <w:r>
        <w:t>eMDA</w:t>
      </w:r>
      <w:proofErr w:type="spellEnd"/>
      <w:r>
        <w:t xml:space="preserve">) shall be used for clearance of fresh fruits and vegetables at the port of exit.   </w:t>
      </w:r>
    </w:p>
    <w:p w14:paraId="0B46EBC4" w14:textId="77777777" w:rsidR="00684C5D" w:rsidRDefault="005E371B">
      <w:pPr>
        <w:spacing w:after="0" w:line="259" w:lineRule="auto"/>
        <w:ind w:left="720" w:firstLine="0"/>
        <w:jc w:val="left"/>
      </w:pPr>
      <w:r>
        <w:rPr>
          <w:b/>
        </w:rPr>
        <w:t xml:space="preserve"> </w:t>
      </w:r>
    </w:p>
    <w:p w14:paraId="3ACF697A" w14:textId="77777777" w:rsidR="00684C5D" w:rsidRDefault="005E371B">
      <w:pPr>
        <w:ind w:left="2505" w:hanging="720"/>
      </w:pPr>
      <w:r>
        <w:t>3.1.6. Permits i</w:t>
      </w:r>
      <w:r>
        <w:t xml:space="preserve">ssued for exportation of a particular consignment of fresh fruits and vegetables shall be presented to Customs only once. </w:t>
      </w:r>
    </w:p>
    <w:p w14:paraId="420E300B" w14:textId="77777777" w:rsidR="00684C5D" w:rsidRDefault="005E371B">
      <w:pPr>
        <w:spacing w:after="0" w:line="259" w:lineRule="auto"/>
        <w:ind w:left="360" w:firstLine="0"/>
        <w:jc w:val="left"/>
      </w:pPr>
      <w:r>
        <w:t xml:space="preserve"> </w:t>
      </w:r>
    </w:p>
    <w:p w14:paraId="3555F980" w14:textId="77777777" w:rsidR="00684C5D" w:rsidRDefault="005E371B">
      <w:pPr>
        <w:ind w:left="2505" w:hanging="720"/>
      </w:pPr>
      <w:r>
        <w:t xml:space="preserve">3.1.7. All consignments of fresh fruits and vegetables shall be physically inspected, at the port of exit or exporter premises;   </w:t>
      </w:r>
    </w:p>
    <w:p w14:paraId="3E5185BB" w14:textId="77777777" w:rsidR="00684C5D" w:rsidRDefault="005E371B">
      <w:pPr>
        <w:spacing w:after="0" w:line="259" w:lineRule="auto"/>
        <w:ind w:left="1080" w:firstLine="0"/>
        <w:jc w:val="left"/>
      </w:pPr>
      <w:r>
        <w:t xml:space="preserve"> </w:t>
      </w:r>
    </w:p>
    <w:p w14:paraId="588435CB" w14:textId="77777777" w:rsidR="00684C5D" w:rsidRDefault="005E371B">
      <w:pPr>
        <w:ind w:left="3512" w:hanging="992"/>
      </w:pPr>
      <w:r>
        <w:t xml:space="preserve">3.1.7.1. Consignments in compliance with the Law shall be issued certificate of free sale; </w:t>
      </w:r>
    </w:p>
    <w:p w14:paraId="631084EF" w14:textId="77777777" w:rsidR="00684C5D" w:rsidRDefault="005E371B">
      <w:pPr>
        <w:spacing w:after="0" w:line="259" w:lineRule="auto"/>
        <w:ind w:left="2520" w:firstLine="0"/>
        <w:jc w:val="left"/>
      </w:pPr>
      <w:r>
        <w:t xml:space="preserve"> </w:t>
      </w:r>
    </w:p>
    <w:p w14:paraId="0BC8BD03" w14:textId="77777777" w:rsidR="00684C5D" w:rsidRDefault="005E371B">
      <w:pPr>
        <w:ind w:left="3601" w:hanging="1081"/>
      </w:pPr>
      <w:r>
        <w:t>3.1.7.2. Non-conforming consignments shall be detained under modalities determined by FDA if they can be reasonably brought into conformance with the Law at the</w:t>
      </w:r>
      <w:r>
        <w:t xml:space="preserve"> exporter’s expense or destroyed under FDA supervision, at the expense of the exporter.  </w:t>
      </w:r>
    </w:p>
    <w:p w14:paraId="2F07DD0E" w14:textId="77777777" w:rsidR="00684C5D" w:rsidRDefault="005E371B">
      <w:pPr>
        <w:spacing w:after="0" w:line="259" w:lineRule="auto"/>
        <w:ind w:left="3421" w:firstLine="0"/>
        <w:jc w:val="left"/>
      </w:pPr>
      <w:r>
        <w:t xml:space="preserve"> </w:t>
      </w:r>
    </w:p>
    <w:p w14:paraId="5BB82811" w14:textId="77777777" w:rsidR="00684C5D" w:rsidRDefault="005E371B">
      <w:pPr>
        <w:ind w:left="3421" w:hanging="1081"/>
      </w:pPr>
      <w:r>
        <w:t xml:space="preserve">5.8.1.3 Inspection of the consignment at the port of exit or the exporter premises shall </w:t>
      </w:r>
      <w:r>
        <w:t xml:space="preserve">attract inspection fee as per the FDA approved fee schedule (LI 2206 A.I. 2013). </w:t>
      </w:r>
    </w:p>
    <w:p w14:paraId="42E6070A" w14:textId="77777777" w:rsidR="00684C5D" w:rsidRDefault="005E371B">
      <w:pPr>
        <w:spacing w:after="0" w:line="259" w:lineRule="auto"/>
        <w:ind w:left="360" w:firstLine="0"/>
        <w:jc w:val="left"/>
      </w:pPr>
      <w:r>
        <w:t xml:space="preserve"> </w:t>
      </w:r>
    </w:p>
    <w:p w14:paraId="0DA8F5EF" w14:textId="77777777" w:rsidR="00684C5D" w:rsidRDefault="005E371B">
      <w:pPr>
        <w:spacing w:after="0" w:line="259" w:lineRule="auto"/>
        <w:ind w:left="360" w:firstLine="0"/>
        <w:jc w:val="left"/>
      </w:pPr>
      <w:r>
        <w:t xml:space="preserve"> </w:t>
      </w:r>
    </w:p>
    <w:p w14:paraId="25EF897F" w14:textId="77777777" w:rsidR="00684C5D" w:rsidRDefault="005E371B">
      <w:pPr>
        <w:pStyle w:val="Heading1"/>
        <w:tabs>
          <w:tab w:val="center" w:pos="1282"/>
          <w:tab w:val="center" w:pos="3935"/>
        </w:tabs>
        <w:ind w:left="0" w:firstLine="0"/>
      </w:pPr>
      <w:bookmarkStart w:id="3" w:name="_Toc8171"/>
      <w:r>
        <w:rPr>
          <w:rFonts w:ascii="Calibri" w:eastAsia="Calibri" w:hAnsi="Calibri" w:cs="Calibri"/>
          <w:b w:val="0"/>
          <w:sz w:val="22"/>
        </w:rPr>
        <w:lastRenderedPageBreak/>
        <w:tab/>
      </w:r>
      <w:r>
        <w:t xml:space="preserve">3.2. </w:t>
      </w:r>
      <w:r>
        <w:tab/>
        <w:t xml:space="preserve">Applying for Export/Clearance Permit </w:t>
      </w:r>
      <w:bookmarkEnd w:id="3"/>
    </w:p>
    <w:p w14:paraId="717AA566" w14:textId="77777777" w:rsidR="00684C5D" w:rsidRDefault="005E371B">
      <w:pPr>
        <w:spacing w:after="0" w:line="259" w:lineRule="auto"/>
        <w:ind w:left="1800" w:firstLine="0"/>
        <w:jc w:val="left"/>
      </w:pPr>
      <w:r>
        <w:rPr>
          <w:b/>
        </w:rPr>
        <w:t xml:space="preserve"> </w:t>
      </w:r>
    </w:p>
    <w:p w14:paraId="09283936" w14:textId="77777777" w:rsidR="00684C5D" w:rsidRDefault="005E371B">
      <w:pPr>
        <w:spacing w:after="111"/>
        <w:ind w:left="2505" w:hanging="720"/>
      </w:pPr>
      <w:r>
        <w:t xml:space="preserve">3.2.1. The exporter, for clearance of fresh fruits and vegetables shall submit the following:  </w:t>
      </w:r>
    </w:p>
    <w:p w14:paraId="67278988" w14:textId="77777777" w:rsidR="00684C5D" w:rsidRDefault="005E371B">
      <w:pPr>
        <w:spacing w:after="0" w:line="259" w:lineRule="auto"/>
        <w:ind w:left="360" w:firstLine="0"/>
        <w:jc w:val="left"/>
      </w:pPr>
      <w:r>
        <w:t xml:space="preserve">  </w:t>
      </w:r>
    </w:p>
    <w:p w14:paraId="72D41A18" w14:textId="77777777" w:rsidR="00684C5D" w:rsidRDefault="005E371B">
      <w:pPr>
        <w:ind w:left="2891"/>
      </w:pPr>
      <w:r>
        <w:t>a. An application letter</w:t>
      </w:r>
      <w:r>
        <w:t xml:space="preserve"> in writing addressing to: </w:t>
      </w:r>
    </w:p>
    <w:p w14:paraId="4DF9F5F1" w14:textId="77777777" w:rsidR="00684C5D" w:rsidRDefault="005E371B">
      <w:pPr>
        <w:spacing w:after="0" w:line="259" w:lineRule="auto"/>
        <w:ind w:left="2160" w:firstLine="0"/>
        <w:jc w:val="left"/>
      </w:pPr>
      <w:r>
        <w:t xml:space="preserve"> </w:t>
      </w:r>
    </w:p>
    <w:p w14:paraId="095CF5B2" w14:textId="77777777" w:rsidR="00684C5D" w:rsidRDefault="005E371B">
      <w:pPr>
        <w:pStyle w:val="Heading2"/>
        <w:ind w:left="3251"/>
      </w:pPr>
      <w:r>
        <w:t xml:space="preserve">The Chief Executive </w:t>
      </w:r>
    </w:p>
    <w:p w14:paraId="4E4A6AA8" w14:textId="77777777" w:rsidR="00684C5D" w:rsidRDefault="005E371B">
      <w:pPr>
        <w:spacing w:line="250" w:lineRule="auto"/>
        <w:ind w:left="3251" w:right="2962"/>
        <w:jc w:val="left"/>
      </w:pPr>
      <w:r>
        <w:rPr>
          <w:b/>
        </w:rPr>
        <w:t xml:space="preserve">Food and Drugs Authority P.O. Box CT 2783 Cantonments- Accra.  </w:t>
      </w:r>
    </w:p>
    <w:p w14:paraId="17EA8354" w14:textId="77777777" w:rsidR="00684C5D" w:rsidRDefault="005E371B">
      <w:pPr>
        <w:spacing w:after="0" w:line="259" w:lineRule="auto"/>
        <w:ind w:left="3241" w:firstLine="0"/>
        <w:jc w:val="left"/>
      </w:pPr>
      <w:r>
        <w:t xml:space="preserve"> </w:t>
      </w:r>
    </w:p>
    <w:p w14:paraId="1ABCEE42" w14:textId="77777777" w:rsidR="00684C5D" w:rsidRDefault="005E371B">
      <w:pPr>
        <w:ind w:left="3241" w:hanging="360"/>
      </w:pPr>
      <w:r>
        <w:t xml:space="preserve">b. Batch numbers, quantities per batch, pack sizes and total quantity. </w:t>
      </w:r>
    </w:p>
    <w:p w14:paraId="5D0D0B0E" w14:textId="77777777" w:rsidR="00684C5D" w:rsidRDefault="005E371B">
      <w:pPr>
        <w:spacing w:after="0" w:line="259" w:lineRule="auto"/>
        <w:ind w:left="1080" w:firstLine="0"/>
        <w:jc w:val="left"/>
      </w:pPr>
      <w:r>
        <w:t xml:space="preserve"> </w:t>
      </w:r>
    </w:p>
    <w:p w14:paraId="586DF0F3" w14:textId="77777777" w:rsidR="00684C5D" w:rsidRDefault="005E371B">
      <w:pPr>
        <w:ind w:left="2505" w:hanging="720"/>
      </w:pPr>
      <w:r>
        <w:t xml:space="preserve">3.2.2. </w:t>
      </w:r>
      <w:r>
        <w:t xml:space="preserve">Registration of food by the authority as provided in Part 7 section 97 of the Public Health Act, Act 851 of 2012, shall not apply to fresh fruits and vegetables. </w:t>
      </w:r>
    </w:p>
    <w:p w14:paraId="0CC18474" w14:textId="77777777" w:rsidR="00684C5D" w:rsidRDefault="005E371B">
      <w:pPr>
        <w:spacing w:after="0" w:line="259" w:lineRule="auto"/>
        <w:ind w:left="1080" w:firstLine="0"/>
        <w:jc w:val="left"/>
      </w:pPr>
      <w:r>
        <w:t xml:space="preserve"> </w:t>
      </w:r>
    </w:p>
    <w:p w14:paraId="77031860" w14:textId="77777777" w:rsidR="00684C5D" w:rsidRDefault="005E371B">
      <w:pPr>
        <w:ind w:left="2505" w:hanging="720"/>
      </w:pPr>
      <w:r>
        <w:t>3.2.3. Notwithstanding clause 5.2.1, supplier address including country of supply, net weig</w:t>
      </w:r>
      <w:r>
        <w:t xml:space="preserve">ht and product batch must be indicated on each packaging of fresh fruits and vegetables.     </w:t>
      </w:r>
    </w:p>
    <w:p w14:paraId="4CCB0A98" w14:textId="77777777" w:rsidR="00684C5D" w:rsidRDefault="005E371B">
      <w:pPr>
        <w:spacing w:after="0" w:line="259" w:lineRule="auto"/>
        <w:ind w:left="1080" w:firstLine="0"/>
        <w:jc w:val="left"/>
      </w:pPr>
      <w:r>
        <w:t xml:space="preserve"> </w:t>
      </w:r>
    </w:p>
    <w:p w14:paraId="24623C77" w14:textId="77777777" w:rsidR="00684C5D" w:rsidRDefault="005E371B">
      <w:pPr>
        <w:ind w:left="2505" w:hanging="720"/>
      </w:pPr>
      <w:r>
        <w:t xml:space="preserve">3.2.4. Furthermore, product label should include storage temperature and instructions on handling conditions. </w:t>
      </w:r>
    </w:p>
    <w:p w14:paraId="67B67380" w14:textId="77777777" w:rsidR="00684C5D" w:rsidRDefault="005E371B">
      <w:pPr>
        <w:spacing w:after="0" w:line="259" w:lineRule="auto"/>
        <w:ind w:left="1080" w:firstLine="0"/>
        <w:jc w:val="left"/>
      </w:pPr>
      <w:r>
        <w:t xml:space="preserve"> </w:t>
      </w:r>
    </w:p>
    <w:p w14:paraId="5D79E045" w14:textId="77777777" w:rsidR="00684C5D" w:rsidRDefault="005E371B">
      <w:pPr>
        <w:ind w:left="2505" w:hanging="720"/>
      </w:pPr>
      <w:r>
        <w:t xml:space="preserve">3.2.5. A permit processing fee of </w:t>
      </w:r>
      <w:r>
        <w:rPr>
          <w:b/>
        </w:rPr>
        <w:t>GH¢ 30.00</w:t>
      </w:r>
      <w:r>
        <w:t xml:space="preserve"> ins</w:t>
      </w:r>
      <w:r>
        <w:t>tead of GH¢ 15.00</w:t>
      </w:r>
      <w:r>
        <w:rPr>
          <w:b/>
        </w:rPr>
        <w:t xml:space="preserve"> </w:t>
      </w:r>
      <w:r>
        <w:t xml:space="preserve">for registered products shall be payable at the FDA office at the port of exit at the time of clearance. </w:t>
      </w:r>
    </w:p>
    <w:p w14:paraId="279DB10D" w14:textId="77777777" w:rsidR="00684C5D" w:rsidRDefault="005E371B">
      <w:pPr>
        <w:spacing w:after="0" w:line="259" w:lineRule="auto"/>
        <w:ind w:left="1080" w:firstLine="0"/>
        <w:jc w:val="left"/>
      </w:pPr>
      <w:r>
        <w:t xml:space="preserve"> </w:t>
      </w:r>
    </w:p>
    <w:p w14:paraId="679E0E78" w14:textId="77777777" w:rsidR="00684C5D" w:rsidRDefault="005E371B">
      <w:pPr>
        <w:ind w:left="2505" w:hanging="720"/>
      </w:pPr>
      <w:r>
        <w:t>3.2.6. Plant health requirements demonstrated by a valid phytosanitary certificate issued by the competent authority, Plant Protec</w:t>
      </w:r>
      <w:r>
        <w:t xml:space="preserve">tion and Regulatory Services Directorate, must accompany all consignments of fresh fruits and vegetables earmarked for export. </w:t>
      </w:r>
    </w:p>
    <w:p w14:paraId="359E0E20" w14:textId="77777777" w:rsidR="00684C5D" w:rsidRDefault="005E371B">
      <w:pPr>
        <w:spacing w:after="0" w:line="259" w:lineRule="auto"/>
        <w:ind w:left="1080" w:firstLine="0"/>
        <w:jc w:val="left"/>
      </w:pPr>
      <w:r>
        <w:t xml:space="preserve"> </w:t>
      </w:r>
    </w:p>
    <w:p w14:paraId="0B90B71F" w14:textId="77777777" w:rsidR="00684C5D" w:rsidRDefault="005E371B">
      <w:pPr>
        <w:ind w:left="2505" w:hanging="720"/>
      </w:pPr>
      <w:r>
        <w:t xml:space="preserve">3.2.7. For independent temperature records throughout the voyage, a </w:t>
      </w:r>
      <w:proofErr w:type="spellStart"/>
      <w:r>
        <w:t>selfcontained</w:t>
      </w:r>
      <w:proofErr w:type="spellEnd"/>
      <w:r>
        <w:t xml:space="preserve"> single-point temperature recorder must be av</w:t>
      </w:r>
      <w:r>
        <w:t xml:space="preserve">ailable in the container for check during physical inspection. Preferably, it should be fitted at the second package down at the door end near the center of the stow.   </w:t>
      </w:r>
    </w:p>
    <w:p w14:paraId="49CDDD67" w14:textId="77777777" w:rsidR="00684C5D" w:rsidRDefault="005E371B">
      <w:pPr>
        <w:spacing w:after="0" w:line="259" w:lineRule="auto"/>
        <w:ind w:left="1080" w:firstLine="0"/>
        <w:jc w:val="left"/>
      </w:pPr>
      <w:r>
        <w:t xml:space="preserve"> </w:t>
      </w:r>
    </w:p>
    <w:p w14:paraId="79B39AA5" w14:textId="77777777" w:rsidR="00684C5D" w:rsidRDefault="005E371B">
      <w:pPr>
        <w:ind w:left="2505" w:hanging="720"/>
      </w:pPr>
      <w:r>
        <w:lastRenderedPageBreak/>
        <w:t xml:space="preserve">3.2.8. Alternatively, any means of taking temperature records may be made available </w:t>
      </w:r>
      <w:r>
        <w:t xml:space="preserve">during physical inspection as readiness to ensuring sustained adequate temperature throughout the voyage of consignments of fresh fruits and vegetables. </w:t>
      </w:r>
    </w:p>
    <w:p w14:paraId="7A40B129" w14:textId="77777777" w:rsidR="00684C5D" w:rsidRDefault="005E371B">
      <w:pPr>
        <w:spacing w:after="0" w:line="259" w:lineRule="auto"/>
        <w:ind w:left="1080" w:firstLine="0"/>
        <w:jc w:val="left"/>
      </w:pPr>
      <w:r>
        <w:t xml:space="preserve">  </w:t>
      </w:r>
    </w:p>
    <w:p w14:paraId="1ED9709A" w14:textId="77777777" w:rsidR="00684C5D" w:rsidRDefault="005E371B">
      <w:pPr>
        <w:ind w:left="2505" w:hanging="720"/>
      </w:pPr>
      <w:r>
        <w:t xml:space="preserve">3.2.9. The authority in the execution of its legal mandate as entrenched in Part 7, section 135 of </w:t>
      </w:r>
      <w:r>
        <w:t>the Public Health Act 2012, Act 851, may detain and subject consignments of fresh fruits and vegetables to laboratory testing for monitoring and surveillance of foodborne diseases. The exporter is therefore expected to wait and cooperate with FDA to be sat</w:t>
      </w:r>
      <w:r>
        <w:t xml:space="preserve">isfied with the laboratory results before the consignment may be issued certificate of free sale.  </w:t>
      </w:r>
    </w:p>
    <w:p w14:paraId="16C17D6B" w14:textId="77777777" w:rsidR="00684C5D" w:rsidRDefault="005E371B">
      <w:pPr>
        <w:spacing w:after="0" w:line="259" w:lineRule="auto"/>
        <w:ind w:left="1080" w:firstLine="0"/>
        <w:jc w:val="left"/>
      </w:pPr>
      <w:r>
        <w:t xml:space="preserve"> </w:t>
      </w:r>
    </w:p>
    <w:p w14:paraId="17F53190" w14:textId="77777777" w:rsidR="00684C5D" w:rsidRDefault="005E371B">
      <w:pPr>
        <w:ind w:left="3601" w:hanging="1081"/>
      </w:pPr>
      <w:r>
        <w:t xml:space="preserve">3.2.9.1. On account where a test is positive (e.g. </w:t>
      </w:r>
      <w:r>
        <w:rPr>
          <w:i/>
        </w:rPr>
        <w:t>listeria</w:t>
      </w:r>
      <w:r>
        <w:t xml:space="preserve"> </w:t>
      </w:r>
      <w:r>
        <w:rPr>
          <w:i/>
        </w:rPr>
        <w:t>monocytogenes</w:t>
      </w:r>
      <w:r>
        <w:t xml:space="preserve"> tested positive) by mini lab analysis and confirmed by the Laboratory Services D</w:t>
      </w:r>
      <w:r>
        <w:t xml:space="preserve">irectorate of FDA, the whole consignment shall be disposed of at the cost of the exporter following FDA approved fee schedule ((LI 2206 A.I. 2013). </w:t>
      </w:r>
    </w:p>
    <w:p w14:paraId="347B23ED" w14:textId="77777777" w:rsidR="00684C5D" w:rsidRDefault="005E371B">
      <w:pPr>
        <w:spacing w:after="0" w:line="259" w:lineRule="auto"/>
        <w:ind w:left="360" w:firstLine="0"/>
        <w:jc w:val="left"/>
      </w:pPr>
      <w:r>
        <w:t xml:space="preserve"> </w:t>
      </w:r>
    </w:p>
    <w:p w14:paraId="731E00EE" w14:textId="77777777" w:rsidR="00684C5D" w:rsidRDefault="005E371B">
      <w:pPr>
        <w:spacing w:after="0" w:line="259" w:lineRule="auto"/>
        <w:ind w:left="360" w:firstLine="0"/>
        <w:jc w:val="left"/>
      </w:pPr>
      <w:r>
        <w:t xml:space="preserve"> </w:t>
      </w:r>
    </w:p>
    <w:p w14:paraId="61168F63" w14:textId="77777777" w:rsidR="00684C5D" w:rsidRDefault="005E371B">
      <w:pPr>
        <w:pStyle w:val="Heading1"/>
        <w:tabs>
          <w:tab w:val="center" w:pos="2428"/>
        </w:tabs>
        <w:ind w:left="-15" w:firstLine="0"/>
      </w:pPr>
      <w:bookmarkStart w:id="4" w:name="_Toc8172"/>
      <w:r>
        <w:t xml:space="preserve">4.0. </w:t>
      </w:r>
      <w:r>
        <w:tab/>
        <w:t>SANCTIONS AND PENALTIES</w:t>
      </w:r>
      <w:r>
        <w:rPr>
          <w:b w:val="0"/>
        </w:rPr>
        <w:t xml:space="preserve"> </w:t>
      </w:r>
      <w:bookmarkEnd w:id="4"/>
    </w:p>
    <w:p w14:paraId="3987BC94" w14:textId="77777777" w:rsidR="00684C5D" w:rsidRDefault="005E371B">
      <w:pPr>
        <w:spacing w:after="0" w:line="259" w:lineRule="auto"/>
        <w:ind w:left="360" w:firstLine="0"/>
        <w:jc w:val="left"/>
      </w:pPr>
      <w:r>
        <w:t xml:space="preserve"> </w:t>
      </w:r>
    </w:p>
    <w:p w14:paraId="275A5E06" w14:textId="77777777" w:rsidR="00684C5D" w:rsidRDefault="005E371B">
      <w:pPr>
        <w:spacing w:after="198" w:line="279" w:lineRule="auto"/>
        <w:ind w:left="1800" w:hanging="720"/>
        <w:jc w:val="left"/>
      </w:pPr>
      <w:r>
        <w:t xml:space="preserve">4.1. </w:t>
      </w:r>
      <w:r>
        <w:tab/>
      </w:r>
      <w:r>
        <w:t xml:space="preserve">The Food and Drugs Authority may impose a fine for the breach of these guidelines in accordance with Section 110 of the Public Health Act, Act 851 of 2012. </w:t>
      </w:r>
    </w:p>
    <w:p w14:paraId="50D5C101" w14:textId="77777777" w:rsidR="00684C5D" w:rsidRDefault="005E371B">
      <w:pPr>
        <w:tabs>
          <w:tab w:val="center" w:pos="562"/>
          <w:tab w:val="center" w:pos="1694"/>
        </w:tabs>
        <w:spacing w:line="250" w:lineRule="auto"/>
        <w:ind w:left="0" w:firstLine="0"/>
        <w:jc w:val="left"/>
      </w:pPr>
      <w:r>
        <w:rPr>
          <w:rFonts w:ascii="Calibri" w:eastAsia="Calibri" w:hAnsi="Calibri" w:cs="Calibri"/>
          <w:sz w:val="22"/>
        </w:rPr>
        <w:tab/>
      </w:r>
      <w:r>
        <w:rPr>
          <w:b/>
        </w:rPr>
        <w:t xml:space="preserve">5.0. </w:t>
      </w:r>
      <w:r>
        <w:rPr>
          <w:b/>
        </w:rPr>
        <w:tab/>
        <w:t xml:space="preserve">APPENDIX </w:t>
      </w:r>
    </w:p>
    <w:p w14:paraId="335A1F60" w14:textId="77777777" w:rsidR="00684C5D" w:rsidRDefault="005E371B">
      <w:pPr>
        <w:spacing w:after="0" w:line="259" w:lineRule="auto"/>
        <w:ind w:left="1080" w:firstLine="0"/>
        <w:jc w:val="left"/>
      </w:pPr>
      <w:r>
        <w:t xml:space="preserve"> </w:t>
      </w:r>
    </w:p>
    <w:p w14:paraId="237281D0" w14:textId="77777777" w:rsidR="00684C5D" w:rsidRDefault="005E371B">
      <w:pPr>
        <w:pStyle w:val="Heading2"/>
        <w:ind w:left="1090"/>
      </w:pPr>
      <w:r>
        <w:t xml:space="preserve">Change History </w:t>
      </w:r>
    </w:p>
    <w:p w14:paraId="7AEADD87" w14:textId="77777777" w:rsidR="00684C5D" w:rsidRDefault="005E371B">
      <w:pPr>
        <w:spacing w:after="0" w:line="259" w:lineRule="auto"/>
        <w:ind w:left="360" w:firstLine="0"/>
        <w:jc w:val="left"/>
      </w:pPr>
      <w:r>
        <w:t xml:space="preserve"> </w:t>
      </w:r>
    </w:p>
    <w:tbl>
      <w:tblPr>
        <w:tblStyle w:val="TableGrid"/>
        <w:tblW w:w="9496" w:type="dxa"/>
        <w:tblInd w:w="293" w:type="dxa"/>
        <w:tblCellMar>
          <w:top w:w="13" w:type="dxa"/>
          <w:left w:w="108" w:type="dxa"/>
          <w:bottom w:w="0" w:type="dxa"/>
          <w:right w:w="41" w:type="dxa"/>
        </w:tblCellMar>
        <w:tblLook w:val="04A0" w:firstRow="1" w:lastRow="0" w:firstColumn="1" w:lastColumn="0" w:noHBand="0" w:noVBand="1"/>
      </w:tblPr>
      <w:tblGrid>
        <w:gridCol w:w="617"/>
        <w:gridCol w:w="1838"/>
        <w:gridCol w:w="1280"/>
        <w:gridCol w:w="5761"/>
      </w:tblGrid>
      <w:tr w:rsidR="00684C5D" w14:paraId="516A85A5"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1F418380" w14:textId="77777777" w:rsidR="00684C5D" w:rsidRDefault="005E371B">
            <w:pPr>
              <w:spacing w:after="0" w:line="259" w:lineRule="auto"/>
              <w:ind w:left="0"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14:paraId="2F5E77EE" w14:textId="77777777" w:rsidR="00684C5D" w:rsidRDefault="005E371B">
            <w:pPr>
              <w:spacing w:after="0" w:line="259" w:lineRule="auto"/>
              <w:ind w:left="0"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14:paraId="562BA24D" w14:textId="77777777" w:rsidR="00684C5D" w:rsidRDefault="005E371B">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14:paraId="62FE50B1" w14:textId="77777777" w:rsidR="00684C5D" w:rsidRDefault="005E371B">
            <w:pPr>
              <w:spacing w:after="0" w:line="259" w:lineRule="auto"/>
              <w:ind w:left="0" w:firstLine="0"/>
              <w:jc w:val="left"/>
            </w:pPr>
            <w:r>
              <w:rPr>
                <w:b/>
              </w:rPr>
              <w:t xml:space="preserve">Description of Change (section) </w:t>
            </w:r>
          </w:p>
        </w:tc>
      </w:tr>
      <w:tr w:rsidR="00684C5D" w14:paraId="6E5D387B" w14:textId="77777777">
        <w:trPr>
          <w:trHeight w:val="286"/>
        </w:trPr>
        <w:tc>
          <w:tcPr>
            <w:tcW w:w="617" w:type="dxa"/>
            <w:tcBorders>
              <w:top w:val="single" w:sz="4" w:space="0" w:color="000000"/>
              <w:left w:val="single" w:sz="4" w:space="0" w:color="000000"/>
              <w:bottom w:val="single" w:sz="4" w:space="0" w:color="000000"/>
              <w:right w:val="single" w:sz="4" w:space="0" w:color="000000"/>
            </w:tcBorders>
          </w:tcPr>
          <w:p w14:paraId="7E95E1A1" w14:textId="77777777" w:rsidR="00684C5D" w:rsidRDefault="005E371B">
            <w:pPr>
              <w:spacing w:after="0" w:line="259" w:lineRule="auto"/>
              <w:ind w:left="0"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14:paraId="56FDE3C2" w14:textId="77777777" w:rsidR="00684C5D" w:rsidRDefault="005E371B">
            <w:pPr>
              <w:spacing w:after="0" w:line="259" w:lineRule="auto"/>
              <w:ind w:left="0" w:firstLine="0"/>
              <w:jc w:val="left"/>
            </w:pPr>
            <w:r>
              <w:t xml:space="preserve">02/01/2019 </w:t>
            </w:r>
          </w:p>
        </w:tc>
        <w:tc>
          <w:tcPr>
            <w:tcW w:w="1280" w:type="dxa"/>
            <w:tcBorders>
              <w:top w:val="single" w:sz="4" w:space="0" w:color="000000"/>
              <w:left w:val="single" w:sz="4" w:space="0" w:color="000000"/>
              <w:bottom w:val="single" w:sz="4" w:space="0" w:color="000000"/>
              <w:right w:val="single" w:sz="4" w:space="0" w:color="000000"/>
            </w:tcBorders>
          </w:tcPr>
          <w:p w14:paraId="6517767F" w14:textId="77777777" w:rsidR="00684C5D" w:rsidRDefault="005E371B">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14:paraId="5029CAFD" w14:textId="77777777" w:rsidR="00684C5D" w:rsidRDefault="005E371B">
            <w:pPr>
              <w:spacing w:after="0" w:line="259" w:lineRule="auto"/>
              <w:ind w:left="0" w:firstLine="0"/>
              <w:jc w:val="left"/>
            </w:pPr>
            <w:r>
              <w:t xml:space="preserve">Initial issue </w:t>
            </w:r>
          </w:p>
        </w:tc>
      </w:tr>
      <w:tr w:rsidR="00684C5D" w14:paraId="0DAE3E5E" w14:textId="77777777">
        <w:trPr>
          <w:trHeight w:val="562"/>
        </w:trPr>
        <w:tc>
          <w:tcPr>
            <w:tcW w:w="617" w:type="dxa"/>
            <w:tcBorders>
              <w:top w:val="single" w:sz="4" w:space="0" w:color="000000"/>
              <w:left w:val="single" w:sz="4" w:space="0" w:color="000000"/>
              <w:bottom w:val="single" w:sz="4" w:space="0" w:color="000000"/>
              <w:right w:val="single" w:sz="4" w:space="0" w:color="000000"/>
            </w:tcBorders>
          </w:tcPr>
          <w:p w14:paraId="094CA818" w14:textId="77777777" w:rsidR="00684C5D" w:rsidRDefault="005E371B">
            <w:pPr>
              <w:spacing w:after="0" w:line="259" w:lineRule="auto"/>
              <w:ind w:left="0"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14:paraId="5CD9594A" w14:textId="77777777" w:rsidR="00684C5D" w:rsidRDefault="005E371B">
            <w:pPr>
              <w:spacing w:after="0" w:line="259" w:lineRule="auto"/>
              <w:ind w:left="0"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14:paraId="19434B0B" w14:textId="77777777" w:rsidR="00684C5D" w:rsidRDefault="005E371B">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14:paraId="45A2B2B2" w14:textId="77777777" w:rsidR="00684C5D" w:rsidRDefault="005E371B">
            <w:pPr>
              <w:spacing w:after="0" w:line="259" w:lineRule="auto"/>
              <w:ind w:left="0" w:firstLine="0"/>
            </w:pPr>
            <w:r>
              <w:t xml:space="preserve">Insertion of sections 3.1.3, 3.1.4; change of document number and logo </w:t>
            </w:r>
          </w:p>
        </w:tc>
      </w:tr>
    </w:tbl>
    <w:p w14:paraId="709B5E9B" w14:textId="77777777" w:rsidR="00684C5D" w:rsidRDefault="005E371B">
      <w:pPr>
        <w:spacing w:after="0" w:line="259" w:lineRule="auto"/>
        <w:ind w:left="1080" w:firstLine="0"/>
        <w:jc w:val="left"/>
      </w:pPr>
      <w:r>
        <w:t xml:space="preserve"> </w:t>
      </w:r>
    </w:p>
    <w:sectPr w:rsidR="00684C5D">
      <w:headerReference w:type="even" r:id="rId14"/>
      <w:headerReference w:type="default" r:id="rId15"/>
      <w:footerReference w:type="even" r:id="rId16"/>
      <w:footerReference w:type="default" r:id="rId17"/>
      <w:headerReference w:type="first" r:id="rId18"/>
      <w:footerReference w:type="first" r:id="rId19"/>
      <w:pgSz w:w="12240" w:h="15840"/>
      <w:pgMar w:top="1998" w:right="1435" w:bottom="1707" w:left="1080" w:header="727"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C4B9" w14:textId="77777777" w:rsidR="005E371B" w:rsidRDefault="005E371B">
      <w:pPr>
        <w:spacing w:after="0" w:line="240" w:lineRule="auto"/>
      </w:pPr>
      <w:r>
        <w:separator/>
      </w:r>
    </w:p>
  </w:endnote>
  <w:endnote w:type="continuationSeparator" w:id="0">
    <w:p w14:paraId="54772F71" w14:textId="77777777" w:rsidR="005E371B" w:rsidRDefault="005E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E00D" w14:textId="77777777" w:rsidR="00684C5D" w:rsidRDefault="00684C5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BC1C" w14:textId="77777777" w:rsidR="00684C5D" w:rsidRDefault="00684C5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2B38" w14:textId="77777777" w:rsidR="00684C5D" w:rsidRDefault="00684C5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CDBC" w14:textId="77777777" w:rsidR="00684C5D" w:rsidRDefault="005E371B">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796D7DEF" w14:textId="77777777" w:rsidR="00684C5D" w:rsidRDefault="005E371B">
    <w:pPr>
      <w:spacing w:after="0" w:line="259" w:lineRule="auto"/>
      <w:ind w:left="36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9841" w14:textId="77777777" w:rsidR="00684C5D" w:rsidRDefault="005E371B">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79BDCBDA" w14:textId="77777777" w:rsidR="00684C5D" w:rsidRDefault="005E371B">
    <w:pPr>
      <w:spacing w:after="0" w:line="259" w:lineRule="auto"/>
      <w:ind w:left="36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56A7" w14:textId="77777777" w:rsidR="00684C5D" w:rsidRDefault="005E371B">
    <w:pPr>
      <w:spacing w:after="0" w:line="259" w:lineRule="auto"/>
      <w:ind w:left="35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5 </w:t>
    </w:r>
  </w:p>
  <w:p w14:paraId="32481538" w14:textId="77777777" w:rsidR="00684C5D" w:rsidRDefault="005E371B">
    <w:pPr>
      <w:spacing w:after="0" w:line="259" w:lineRule="auto"/>
      <w:ind w:left="36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C363" w14:textId="77777777" w:rsidR="005E371B" w:rsidRDefault="005E371B">
      <w:pPr>
        <w:spacing w:after="0" w:line="240" w:lineRule="auto"/>
      </w:pPr>
      <w:r>
        <w:separator/>
      </w:r>
    </w:p>
  </w:footnote>
  <w:footnote w:type="continuationSeparator" w:id="0">
    <w:p w14:paraId="7D44F9FA" w14:textId="77777777" w:rsidR="005E371B" w:rsidRDefault="005E3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951C" w14:textId="77777777" w:rsidR="00684C5D" w:rsidRDefault="00684C5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D38F" w14:textId="77777777" w:rsidR="00684C5D" w:rsidRDefault="00684C5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5175" w14:textId="77777777" w:rsidR="00684C5D" w:rsidRDefault="00684C5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D2C1" w14:textId="77777777" w:rsidR="00684C5D" w:rsidRDefault="005E371B">
    <w:pPr>
      <w:spacing w:after="0" w:line="259" w:lineRule="auto"/>
      <w:ind w:left="360" w:firstLine="0"/>
      <w:jc w:val="left"/>
    </w:pPr>
    <w:r>
      <w:rPr>
        <w:sz w:val="22"/>
      </w:rPr>
      <w:t xml:space="preserve"> </w:t>
    </w:r>
  </w:p>
  <w:p w14:paraId="630CF7D3" w14:textId="77777777" w:rsidR="00684C5D" w:rsidRDefault="005E371B">
    <w:pPr>
      <w:spacing w:after="0" w:line="259" w:lineRule="auto"/>
      <w:ind w:left="360" w:firstLine="0"/>
      <w:jc w:val="left"/>
    </w:pPr>
    <w:r>
      <w:rPr>
        <w:sz w:val="22"/>
      </w:rPr>
      <w:t xml:space="preserve"> </w:t>
    </w:r>
  </w:p>
  <w:p w14:paraId="038C3EF6" w14:textId="77777777" w:rsidR="00684C5D" w:rsidRDefault="005E371B">
    <w:pPr>
      <w:spacing w:after="0" w:line="259" w:lineRule="auto"/>
      <w:ind w:left="0" w:right="2" w:firstLine="0"/>
      <w:jc w:val="right"/>
    </w:pPr>
    <w:r>
      <w:rPr>
        <w:b/>
      </w:rPr>
      <w:t xml:space="preserve">FDA/IEC/GL-POP/2019/10 </w:t>
    </w:r>
  </w:p>
  <w:p w14:paraId="365806A9" w14:textId="77777777" w:rsidR="00684C5D" w:rsidRDefault="005E371B">
    <w:pPr>
      <w:spacing w:after="0" w:line="259" w:lineRule="auto"/>
      <w:ind w:left="36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9C16" w14:textId="77777777" w:rsidR="00684C5D" w:rsidRDefault="005E371B">
    <w:pPr>
      <w:spacing w:after="0" w:line="259" w:lineRule="auto"/>
      <w:ind w:left="360" w:firstLine="0"/>
      <w:jc w:val="left"/>
    </w:pPr>
    <w:r>
      <w:rPr>
        <w:sz w:val="22"/>
      </w:rPr>
      <w:t xml:space="preserve"> </w:t>
    </w:r>
  </w:p>
  <w:p w14:paraId="6362C205" w14:textId="77777777" w:rsidR="00684C5D" w:rsidRDefault="005E371B">
    <w:pPr>
      <w:spacing w:after="0" w:line="259" w:lineRule="auto"/>
      <w:ind w:left="360" w:firstLine="0"/>
      <w:jc w:val="left"/>
    </w:pPr>
    <w:r>
      <w:rPr>
        <w:sz w:val="22"/>
      </w:rPr>
      <w:t xml:space="preserve"> </w:t>
    </w:r>
  </w:p>
  <w:p w14:paraId="5EBA2556" w14:textId="77777777" w:rsidR="00684C5D" w:rsidRDefault="005E371B">
    <w:pPr>
      <w:spacing w:after="0" w:line="259" w:lineRule="auto"/>
      <w:ind w:left="0" w:right="2" w:firstLine="0"/>
      <w:jc w:val="right"/>
    </w:pPr>
    <w:r>
      <w:rPr>
        <w:b/>
      </w:rPr>
      <w:t xml:space="preserve">FDA/IEC/GL-POP/2019/10 </w:t>
    </w:r>
  </w:p>
  <w:p w14:paraId="2637472F" w14:textId="77777777" w:rsidR="00684C5D" w:rsidRDefault="005E371B">
    <w:pPr>
      <w:spacing w:after="0" w:line="259" w:lineRule="auto"/>
      <w:ind w:left="36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3859" w14:textId="77777777" w:rsidR="00684C5D" w:rsidRDefault="005E371B">
    <w:pPr>
      <w:spacing w:after="0" w:line="259" w:lineRule="auto"/>
      <w:ind w:left="360" w:firstLine="0"/>
      <w:jc w:val="left"/>
    </w:pPr>
    <w:r>
      <w:rPr>
        <w:sz w:val="22"/>
      </w:rPr>
      <w:t xml:space="preserve"> </w:t>
    </w:r>
  </w:p>
  <w:p w14:paraId="4F479EE0" w14:textId="77777777" w:rsidR="00684C5D" w:rsidRDefault="005E371B">
    <w:pPr>
      <w:spacing w:after="0" w:line="259" w:lineRule="auto"/>
      <w:ind w:left="360" w:firstLine="0"/>
      <w:jc w:val="left"/>
    </w:pPr>
    <w:r>
      <w:rPr>
        <w:sz w:val="22"/>
      </w:rPr>
      <w:t xml:space="preserve"> </w:t>
    </w:r>
  </w:p>
  <w:p w14:paraId="09A6D603" w14:textId="77777777" w:rsidR="00684C5D" w:rsidRDefault="005E371B">
    <w:pPr>
      <w:spacing w:after="0" w:line="259" w:lineRule="auto"/>
      <w:ind w:left="0" w:right="2" w:firstLine="0"/>
      <w:jc w:val="right"/>
    </w:pPr>
    <w:r>
      <w:rPr>
        <w:b/>
      </w:rPr>
      <w:t>FDA/IEC/GL-POP</w:t>
    </w:r>
    <w:r>
      <w:rPr>
        <w:b/>
      </w:rPr>
      <w:t xml:space="preserve">/2019/10 </w:t>
    </w:r>
  </w:p>
  <w:p w14:paraId="606CF460" w14:textId="77777777" w:rsidR="00684C5D" w:rsidRDefault="005E371B">
    <w:pPr>
      <w:spacing w:after="0" w:line="259" w:lineRule="auto"/>
      <w:ind w:left="36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4B90"/>
    <w:multiLevelType w:val="multilevel"/>
    <w:tmpl w:val="520E4AA0"/>
    <w:lvl w:ilvl="0">
      <w:start w:val="1"/>
      <w:numFmt w:val="decimal"/>
      <w:lvlText w:val="%1.0"/>
      <w:lvlJc w:val="left"/>
      <w:pPr>
        <w:ind w:left="855" w:hanging="390"/>
      </w:pPr>
      <w:rPr>
        <w:rFonts w:ascii="Arial" w:eastAsia="Arial" w:hAnsi="Arial" w:cs="Arial" w:hint="default"/>
        <w:sz w:val="24"/>
      </w:rPr>
    </w:lvl>
    <w:lvl w:ilvl="1">
      <w:start w:val="1"/>
      <w:numFmt w:val="decimal"/>
      <w:lvlText w:val="%1.%2"/>
      <w:lvlJc w:val="left"/>
      <w:pPr>
        <w:ind w:left="1575" w:hanging="390"/>
      </w:pPr>
      <w:rPr>
        <w:rFonts w:ascii="Arial" w:eastAsia="Arial" w:hAnsi="Arial" w:cs="Arial" w:hint="default"/>
        <w:sz w:val="24"/>
      </w:rPr>
    </w:lvl>
    <w:lvl w:ilvl="2">
      <w:start w:val="1"/>
      <w:numFmt w:val="decimal"/>
      <w:lvlText w:val="%1.%2.%3"/>
      <w:lvlJc w:val="left"/>
      <w:pPr>
        <w:ind w:left="2625" w:hanging="720"/>
      </w:pPr>
      <w:rPr>
        <w:rFonts w:ascii="Arial" w:eastAsia="Arial" w:hAnsi="Arial" w:cs="Arial" w:hint="default"/>
        <w:sz w:val="24"/>
      </w:rPr>
    </w:lvl>
    <w:lvl w:ilvl="3">
      <w:start w:val="1"/>
      <w:numFmt w:val="decimal"/>
      <w:lvlText w:val="%1.%2.%3.%4"/>
      <w:lvlJc w:val="left"/>
      <w:pPr>
        <w:ind w:left="3705" w:hanging="1080"/>
      </w:pPr>
      <w:rPr>
        <w:rFonts w:ascii="Arial" w:eastAsia="Arial" w:hAnsi="Arial" w:cs="Arial" w:hint="default"/>
        <w:sz w:val="24"/>
      </w:rPr>
    </w:lvl>
    <w:lvl w:ilvl="4">
      <w:start w:val="1"/>
      <w:numFmt w:val="decimal"/>
      <w:lvlText w:val="%1.%2.%3.%4.%5"/>
      <w:lvlJc w:val="left"/>
      <w:pPr>
        <w:ind w:left="4425" w:hanging="1080"/>
      </w:pPr>
      <w:rPr>
        <w:rFonts w:ascii="Arial" w:eastAsia="Arial" w:hAnsi="Arial" w:cs="Arial" w:hint="default"/>
        <w:sz w:val="24"/>
      </w:rPr>
    </w:lvl>
    <w:lvl w:ilvl="5">
      <w:start w:val="1"/>
      <w:numFmt w:val="decimal"/>
      <w:lvlText w:val="%1.%2.%3.%4.%5.%6"/>
      <w:lvlJc w:val="left"/>
      <w:pPr>
        <w:ind w:left="5505" w:hanging="1440"/>
      </w:pPr>
      <w:rPr>
        <w:rFonts w:ascii="Arial" w:eastAsia="Arial" w:hAnsi="Arial" w:cs="Arial" w:hint="default"/>
        <w:sz w:val="24"/>
      </w:rPr>
    </w:lvl>
    <w:lvl w:ilvl="6">
      <w:start w:val="1"/>
      <w:numFmt w:val="decimal"/>
      <w:lvlText w:val="%1.%2.%3.%4.%5.%6.%7"/>
      <w:lvlJc w:val="left"/>
      <w:pPr>
        <w:ind w:left="6225" w:hanging="1440"/>
      </w:pPr>
      <w:rPr>
        <w:rFonts w:ascii="Arial" w:eastAsia="Arial" w:hAnsi="Arial" w:cs="Arial" w:hint="default"/>
        <w:sz w:val="24"/>
      </w:rPr>
    </w:lvl>
    <w:lvl w:ilvl="7">
      <w:start w:val="1"/>
      <w:numFmt w:val="decimal"/>
      <w:lvlText w:val="%1.%2.%3.%4.%5.%6.%7.%8"/>
      <w:lvlJc w:val="left"/>
      <w:pPr>
        <w:ind w:left="7305" w:hanging="1800"/>
      </w:pPr>
      <w:rPr>
        <w:rFonts w:ascii="Arial" w:eastAsia="Arial" w:hAnsi="Arial" w:cs="Arial" w:hint="default"/>
        <w:sz w:val="24"/>
      </w:rPr>
    </w:lvl>
    <w:lvl w:ilvl="8">
      <w:start w:val="1"/>
      <w:numFmt w:val="decimal"/>
      <w:lvlText w:val="%1.%2.%3.%4.%5.%6.%7.%8.%9"/>
      <w:lvlJc w:val="left"/>
      <w:pPr>
        <w:ind w:left="8025" w:hanging="1800"/>
      </w:pPr>
      <w:rPr>
        <w:rFonts w:ascii="Arial" w:eastAsia="Arial" w:hAnsi="Arial" w:cs="Arial" w:hint="default"/>
        <w:sz w:val="24"/>
      </w:rPr>
    </w:lvl>
  </w:abstractNum>
  <w:abstractNum w:abstractNumId="1" w15:restartNumberingAfterBreak="0">
    <w:nsid w:val="6CEE33CC"/>
    <w:multiLevelType w:val="hybridMultilevel"/>
    <w:tmpl w:val="9EFC912E"/>
    <w:lvl w:ilvl="0" w:tplc="24960514">
      <w:start w:val="1"/>
      <w:numFmt w:val="bullet"/>
      <w:lvlText w:val=""/>
      <w:lvlJc w:val="left"/>
      <w:pPr>
        <w:ind w:left="32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714C9A2">
      <w:start w:val="1"/>
      <w:numFmt w:val="bullet"/>
      <w:lvlText w:val="o"/>
      <w:lvlJc w:val="left"/>
      <w:pPr>
        <w:ind w:left="37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EEEEBCA0">
      <w:start w:val="1"/>
      <w:numFmt w:val="bullet"/>
      <w:lvlText w:val="▪"/>
      <w:lvlJc w:val="left"/>
      <w:pPr>
        <w:ind w:left="44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E9702A50">
      <w:start w:val="1"/>
      <w:numFmt w:val="bullet"/>
      <w:lvlText w:val="•"/>
      <w:lvlJc w:val="left"/>
      <w:pPr>
        <w:ind w:left="51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93B4EDCA">
      <w:start w:val="1"/>
      <w:numFmt w:val="bullet"/>
      <w:lvlText w:val="o"/>
      <w:lvlJc w:val="left"/>
      <w:pPr>
        <w:ind w:left="586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1974F808">
      <w:start w:val="1"/>
      <w:numFmt w:val="bullet"/>
      <w:lvlText w:val="▪"/>
      <w:lvlJc w:val="left"/>
      <w:pPr>
        <w:ind w:left="658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E0281C5C">
      <w:start w:val="1"/>
      <w:numFmt w:val="bullet"/>
      <w:lvlText w:val="•"/>
      <w:lvlJc w:val="left"/>
      <w:pPr>
        <w:ind w:left="73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54C4639E">
      <w:start w:val="1"/>
      <w:numFmt w:val="bullet"/>
      <w:lvlText w:val="o"/>
      <w:lvlJc w:val="left"/>
      <w:pPr>
        <w:ind w:left="802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20745E5A">
      <w:start w:val="1"/>
      <w:numFmt w:val="bullet"/>
      <w:lvlText w:val="▪"/>
      <w:lvlJc w:val="left"/>
      <w:pPr>
        <w:ind w:left="874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5D"/>
    <w:rsid w:val="005E371B"/>
    <w:rsid w:val="00684C5D"/>
    <w:rsid w:val="00D2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3313"/>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97" w:line="249" w:lineRule="auto"/>
      <w:ind w:left="25" w:right="23"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2020-04-05T21:09:00Z</dcterms:created>
  <dcterms:modified xsi:type="dcterms:W3CDTF">2020-04-05T21:09:00Z</dcterms:modified>
</cp:coreProperties>
</file>