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4B83" w:rsidRDefault="00250436">
      <w:pPr>
        <w:spacing w:after="210" w:line="259" w:lineRule="auto"/>
        <w:ind w:left="0" w:firstLine="0"/>
        <w:jc w:val="left"/>
      </w:pPr>
      <w:r>
        <w:t xml:space="preserve"> </w:t>
      </w:r>
    </w:p>
    <w:p w:rsidR="00784B83" w:rsidRDefault="00250436">
      <w:pPr>
        <w:spacing w:after="170" w:line="259" w:lineRule="auto"/>
        <w:ind w:left="75" w:firstLine="0"/>
        <w:jc w:val="center"/>
      </w:pPr>
      <w:r>
        <w:rPr>
          <w:noProof/>
        </w:rPr>
        <w:drawing>
          <wp:inline distT="0" distB="0" distL="0" distR="0">
            <wp:extent cx="1283335" cy="1259434"/>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7"/>
                    <a:stretch>
                      <a:fillRect/>
                    </a:stretch>
                  </pic:blipFill>
                  <pic:spPr>
                    <a:xfrm>
                      <a:off x="0" y="0"/>
                      <a:ext cx="1283335" cy="1259434"/>
                    </a:xfrm>
                    <a:prstGeom prst="rect">
                      <a:avLst/>
                    </a:prstGeom>
                  </pic:spPr>
                </pic:pic>
              </a:graphicData>
            </a:graphic>
          </wp:inline>
        </w:drawing>
      </w:r>
      <w:r>
        <w:t xml:space="preserve"> </w:t>
      </w:r>
    </w:p>
    <w:p w:rsidR="00784B83" w:rsidRDefault="00250436">
      <w:pPr>
        <w:spacing w:after="370" w:line="259" w:lineRule="auto"/>
        <w:ind w:left="76" w:firstLine="0"/>
        <w:jc w:val="center"/>
      </w:pPr>
      <w:r>
        <w:rPr>
          <w:b/>
        </w:rPr>
        <w:t xml:space="preserve"> </w:t>
      </w:r>
    </w:p>
    <w:p w:rsidR="00784B83" w:rsidRDefault="00250436">
      <w:pPr>
        <w:spacing w:after="81" w:line="259" w:lineRule="auto"/>
        <w:ind w:left="11" w:firstLine="0"/>
        <w:jc w:val="center"/>
      </w:pPr>
      <w:r>
        <w:rPr>
          <w:b/>
          <w:sz w:val="40"/>
        </w:rPr>
        <w:t xml:space="preserve">FOOD AND DRUGS AUTHORITY </w:t>
      </w:r>
    </w:p>
    <w:p w:rsidR="00784B83" w:rsidRDefault="00250436">
      <w:pPr>
        <w:spacing w:after="114" w:line="450" w:lineRule="auto"/>
        <w:ind w:left="0" w:right="9285" w:firstLine="0"/>
        <w:jc w:val="left"/>
      </w:pPr>
      <w:r>
        <w:t xml:space="preserve">     </w:t>
      </w:r>
    </w:p>
    <w:p w:rsidR="00784B83" w:rsidRDefault="00250436">
      <w:pPr>
        <w:spacing w:after="0" w:line="276" w:lineRule="auto"/>
        <w:ind w:left="0" w:firstLine="0"/>
        <w:jc w:val="center"/>
      </w:pPr>
      <w:r>
        <w:rPr>
          <w:b/>
          <w:sz w:val="36"/>
        </w:rPr>
        <w:t xml:space="preserve">GUIDELINES FOR PROCESSING OF IMPORT PERMIT AND CLEARANCE OF FROZEN MEAT, FISH, </w:t>
      </w:r>
    </w:p>
    <w:p w:rsidR="00784B83" w:rsidRDefault="00250436">
      <w:pPr>
        <w:spacing w:after="117" w:line="259" w:lineRule="auto"/>
        <w:ind w:left="120" w:firstLine="0"/>
        <w:jc w:val="left"/>
      </w:pPr>
      <w:r>
        <w:rPr>
          <w:b/>
          <w:sz w:val="36"/>
        </w:rPr>
        <w:t xml:space="preserve">SHELLFISH AND OTHER AQUATIC INVERTEBRATES </w:t>
      </w:r>
    </w:p>
    <w:p w:rsidR="0057518B" w:rsidRDefault="00250436">
      <w:pPr>
        <w:spacing w:after="1" w:line="450" w:lineRule="auto"/>
        <w:ind w:left="0" w:right="9285" w:firstLine="0"/>
        <w:jc w:val="left"/>
      </w:pPr>
      <w:r>
        <w:t xml:space="preserve">   </w:t>
      </w:r>
    </w:p>
    <w:p w:rsidR="0057518B" w:rsidRDefault="0057518B">
      <w:pPr>
        <w:spacing w:after="1" w:line="450" w:lineRule="auto"/>
        <w:ind w:left="0" w:right="9285" w:firstLine="0"/>
        <w:jc w:val="left"/>
      </w:pPr>
    </w:p>
    <w:p w:rsidR="00784B83" w:rsidRDefault="00250436">
      <w:pPr>
        <w:spacing w:after="1" w:line="450" w:lineRule="auto"/>
        <w:ind w:left="0" w:right="9285" w:firstLine="0"/>
        <w:jc w:val="left"/>
      </w:pPr>
      <w:r>
        <w:t xml:space="preserve">   </w:t>
      </w:r>
    </w:p>
    <w:p w:rsidR="00784B83" w:rsidRDefault="00250436">
      <w:pPr>
        <w:tabs>
          <w:tab w:val="center" w:pos="2160"/>
          <w:tab w:val="center" w:pos="2914"/>
          <w:tab w:val="center" w:pos="5029"/>
        </w:tabs>
        <w:ind w:left="0" w:firstLine="0"/>
        <w:jc w:val="left"/>
      </w:pPr>
      <w:r>
        <w:rPr>
          <w:b/>
        </w:rPr>
        <w:t xml:space="preserve">Document No. </w:t>
      </w:r>
      <w:r>
        <w:rPr>
          <w:b/>
        </w:rPr>
        <w:tab/>
        <w:t xml:space="preserve"> </w:t>
      </w:r>
      <w:r>
        <w:rPr>
          <w:b/>
        </w:rPr>
        <w:tab/>
      </w:r>
      <w:r>
        <w:t>:</w:t>
      </w:r>
      <w:r>
        <w:rPr>
          <w:b/>
        </w:rPr>
        <w:t xml:space="preserve">  </w:t>
      </w:r>
      <w:r>
        <w:rPr>
          <w:b/>
        </w:rPr>
        <w:tab/>
      </w:r>
      <w:r>
        <w:t>FDA/IEC/GL-POP/2019/07</w:t>
      </w:r>
      <w:r>
        <w:rPr>
          <w:b/>
        </w:rPr>
        <w:t xml:space="preserve"> </w:t>
      </w:r>
    </w:p>
    <w:p w:rsidR="0057518B" w:rsidRDefault="00250436">
      <w:pPr>
        <w:spacing w:after="5" w:line="250" w:lineRule="auto"/>
        <w:ind w:left="-5"/>
        <w:jc w:val="left"/>
        <w:rPr>
          <w:b/>
        </w:rPr>
      </w:pPr>
      <w:r>
        <w:rPr>
          <w:b/>
        </w:rPr>
        <w:t xml:space="preserve">Date of First Adoption </w:t>
      </w:r>
      <w:r>
        <w:rPr>
          <w:b/>
        </w:rPr>
        <w:tab/>
      </w:r>
      <w:r>
        <w:t>:</w:t>
      </w:r>
      <w:r>
        <w:rPr>
          <w:b/>
        </w:rPr>
        <w:t xml:space="preserve"> </w:t>
      </w:r>
      <w:r>
        <w:rPr>
          <w:b/>
        </w:rPr>
        <w:tab/>
      </w:r>
      <w:r>
        <w:t>2nd January 2019</w:t>
      </w:r>
      <w:r>
        <w:rPr>
          <w:b/>
        </w:rPr>
        <w:t xml:space="preserve">  </w:t>
      </w:r>
    </w:p>
    <w:p w:rsidR="0057518B" w:rsidRDefault="00250436">
      <w:pPr>
        <w:spacing w:after="5" w:line="250" w:lineRule="auto"/>
        <w:ind w:left="-5"/>
        <w:jc w:val="left"/>
        <w:rPr>
          <w:b/>
        </w:rPr>
      </w:pPr>
      <w:r>
        <w:rPr>
          <w:b/>
        </w:rPr>
        <w:t xml:space="preserve">Effective Date </w:t>
      </w:r>
      <w:r>
        <w:rPr>
          <w:b/>
        </w:rPr>
        <w:tab/>
        <w:t xml:space="preserve"> </w:t>
      </w:r>
      <w:r>
        <w:rPr>
          <w:b/>
        </w:rPr>
        <w:tab/>
      </w:r>
      <w:r>
        <w:t>:</w:t>
      </w:r>
      <w:r>
        <w:rPr>
          <w:b/>
        </w:rPr>
        <w:t xml:space="preserve"> </w:t>
      </w:r>
      <w:r>
        <w:rPr>
          <w:b/>
        </w:rPr>
        <w:tab/>
      </w:r>
      <w:r>
        <w:t>4</w:t>
      </w:r>
      <w:r>
        <w:rPr>
          <w:vertAlign w:val="superscript"/>
        </w:rPr>
        <w:t>th</w:t>
      </w:r>
      <w:r>
        <w:t xml:space="preserve"> November 2019</w:t>
      </w:r>
      <w:r>
        <w:rPr>
          <w:b/>
        </w:rPr>
        <w:t xml:space="preserve"> </w:t>
      </w:r>
    </w:p>
    <w:p w:rsidR="00784B83" w:rsidRDefault="00250436" w:rsidP="0057518B">
      <w:pPr>
        <w:spacing w:after="5" w:line="250" w:lineRule="auto"/>
        <w:ind w:left="0" w:firstLine="0"/>
        <w:jc w:val="left"/>
        <w:rPr>
          <w:b/>
        </w:rPr>
      </w:pPr>
      <w:r>
        <w:rPr>
          <w:b/>
        </w:rPr>
        <w:t xml:space="preserve">Version </w:t>
      </w:r>
      <w:proofErr w:type="gramStart"/>
      <w:r>
        <w:rPr>
          <w:b/>
        </w:rPr>
        <w:t xml:space="preserve">No.  </w:t>
      </w:r>
      <w:r>
        <w:rPr>
          <w:b/>
        </w:rPr>
        <w:tab/>
      </w:r>
      <w:proofErr w:type="gramEnd"/>
      <w:r>
        <w:rPr>
          <w:b/>
        </w:rPr>
        <w:t xml:space="preserve"> </w:t>
      </w:r>
      <w:r>
        <w:rPr>
          <w:b/>
        </w:rPr>
        <w:tab/>
      </w:r>
      <w:r>
        <w:t>:</w:t>
      </w:r>
      <w:r>
        <w:rPr>
          <w:b/>
        </w:rPr>
        <w:t xml:space="preserve"> </w:t>
      </w:r>
      <w:r>
        <w:rPr>
          <w:b/>
        </w:rPr>
        <w:tab/>
      </w:r>
      <w:r>
        <w:t>02</w:t>
      </w:r>
      <w:r>
        <w:rPr>
          <w:b/>
        </w:rPr>
        <w:t xml:space="preserve"> </w:t>
      </w:r>
    </w:p>
    <w:p w:rsidR="0057518B" w:rsidRDefault="0057518B" w:rsidP="0057518B">
      <w:pPr>
        <w:spacing w:after="5" w:line="250" w:lineRule="auto"/>
        <w:ind w:left="0" w:firstLine="0"/>
        <w:jc w:val="left"/>
        <w:rPr>
          <w:b/>
        </w:rPr>
      </w:pPr>
    </w:p>
    <w:p w:rsidR="0057518B" w:rsidRDefault="0057518B" w:rsidP="0057518B">
      <w:pPr>
        <w:spacing w:after="5" w:line="250" w:lineRule="auto"/>
        <w:ind w:left="0" w:firstLine="0"/>
        <w:jc w:val="left"/>
        <w:rPr>
          <w:b/>
        </w:rPr>
      </w:pPr>
    </w:p>
    <w:p w:rsidR="0057518B" w:rsidRDefault="0057518B" w:rsidP="0057518B">
      <w:pPr>
        <w:spacing w:after="5" w:line="250" w:lineRule="auto"/>
        <w:ind w:left="0" w:firstLine="0"/>
        <w:jc w:val="left"/>
        <w:rPr>
          <w:b/>
        </w:rPr>
      </w:pPr>
    </w:p>
    <w:p w:rsidR="0057518B" w:rsidRDefault="0057518B" w:rsidP="0057518B">
      <w:pPr>
        <w:spacing w:after="5" w:line="250" w:lineRule="auto"/>
        <w:ind w:left="0" w:firstLine="0"/>
        <w:jc w:val="left"/>
        <w:rPr>
          <w:b/>
        </w:rPr>
      </w:pPr>
    </w:p>
    <w:p w:rsidR="0057518B" w:rsidRDefault="0057518B" w:rsidP="0057518B">
      <w:pPr>
        <w:spacing w:after="5" w:line="250" w:lineRule="auto"/>
        <w:ind w:left="0" w:firstLine="0"/>
        <w:jc w:val="left"/>
        <w:rPr>
          <w:b/>
        </w:rPr>
      </w:pPr>
    </w:p>
    <w:p w:rsidR="0057518B" w:rsidRDefault="0057518B" w:rsidP="0057518B">
      <w:pPr>
        <w:spacing w:after="5" w:line="250" w:lineRule="auto"/>
        <w:ind w:left="0" w:firstLine="0"/>
        <w:jc w:val="left"/>
        <w:rPr>
          <w:b/>
        </w:rPr>
      </w:pPr>
    </w:p>
    <w:p w:rsidR="0057518B" w:rsidRDefault="0057518B" w:rsidP="0057518B">
      <w:pPr>
        <w:spacing w:after="5" w:line="250" w:lineRule="auto"/>
        <w:ind w:left="0" w:firstLine="0"/>
        <w:jc w:val="left"/>
        <w:rPr>
          <w:b/>
        </w:rPr>
      </w:pPr>
    </w:p>
    <w:p w:rsidR="0057518B" w:rsidRDefault="0057518B" w:rsidP="0057518B">
      <w:pPr>
        <w:spacing w:after="5" w:line="250" w:lineRule="auto"/>
        <w:ind w:left="0" w:firstLine="0"/>
        <w:jc w:val="left"/>
        <w:rPr>
          <w:b/>
        </w:rPr>
      </w:pPr>
    </w:p>
    <w:p w:rsidR="0057518B" w:rsidRDefault="0057518B" w:rsidP="0057518B">
      <w:pPr>
        <w:spacing w:after="5" w:line="250" w:lineRule="auto"/>
        <w:ind w:left="0" w:firstLine="0"/>
        <w:jc w:val="left"/>
        <w:rPr>
          <w:b/>
        </w:rPr>
      </w:pPr>
    </w:p>
    <w:p w:rsidR="0057518B" w:rsidRDefault="0057518B" w:rsidP="0057518B">
      <w:pPr>
        <w:spacing w:after="5" w:line="250" w:lineRule="auto"/>
        <w:ind w:left="0" w:firstLine="0"/>
        <w:jc w:val="left"/>
        <w:rPr>
          <w:b/>
        </w:rPr>
      </w:pPr>
    </w:p>
    <w:p w:rsidR="0057518B" w:rsidRDefault="0057518B" w:rsidP="0057518B">
      <w:pPr>
        <w:spacing w:after="5" w:line="250" w:lineRule="auto"/>
        <w:ind w:left="0" w:firstLine="0"/>
        <w:jc w:val="left"/>
        <w:rPr>
          <w:b/>
        </w:rPr>
      </w:pPr>
    </w:p>
    <w:p w:rsidR="0057518B" w:rsidRDefault="0057518B" w:rsidP="0057518B">
      <w:pPr>
        <w:spacing w:after="5" w:line="250" w:lineRule="auto"/>
        <w:ind w:left="0" w:firstLine="0"/>
        <w:jc w:val="left"/>
        <w:rPr>
          <w:b/>
        </w:rPr>
      </w:pPr>
      <w:bookmarkStart w:id="0" w:name="_GoBack"/>
      <w:bookmarkEnd w:id="0"/>
    </w:p>
    <w:p w:rsidR="0057518B" w:rsidRDefault="0057518B" w:rsidP="0057518B">
      <w:pPr>
        <w:spacing w:after="5" w:line="250" w:lineRule="auto"/>
        <w:ind w:left="0" w:firstLine="0"/>
        <w:jc w:val="left"/>
      </w:pPr>
    </w:p>
    <w:p w:rsidR="00784B83" w:rsidRDefault="00250436">
      <w:pPr>
        <w:spacing w:after="0" w:line="259" w:lineRule="auto"/>
        <w:ind w:left="0" w:firstLine="0"/>
        <w:jc w:val="left"/>
      </w:pPr>
      <w:r>
        <w:lastRenderedPageBreak/>
        <w:t xml:space="preserve"> </w:t>
      </w:r>
    </w:p>
    <w:sdt>
      <w:sdtPr>
        <w:id w:val="782692822"/>
        <w:docPartObj>
          <w:docPartGallery w:val="Table of Contents"/>
        </w:docPartObj>
      </w:sdtPr>
      <w:sdtEndPr/>
      <w:sdtContent>
        <w:p w:rsidR="00784B83" w:rsidRDefault="00250436">
          <w:pPr>
            <w:spacing w:after="0" w:line="259" w:lineRule="auto"/>
            <w:ind w:left="0" w:firstLine="0"/>
            <w:jc w:val="left"/>
          </w:pPr>
          <w:r>
            <w:rPr>
              <w:sz w:val="32"/>
            </w:rPr>
            <w:t xml:space="preserve">Table of Contents </w:t>
          </w:r>
        </w:p>
        <w:p w:rsidR="00784B83" w:rsidRDefault="00250436">
          <w:pPr>
            <w:spacing w:line="335" w:lineRule="auto"/>
          </w:pPr>
          <w:r>
            <w:t>1.0</w:t>
          </w:r>
          <w:r>
            <w:rPr>
              <w:rFonts w:ascii="Calibri" w:eastAsia="Calibri" w:hAnsi="Calibri" w:cs="Calibri"/>
              <w:sz w:val="22"/>
            </w:rPr>
            <w:t xml:space="preserve"> </w:t>
          </w:r>
          <w:r>
            <w:t xml:space="preserve">INTRODUCTION ...................................................... </w:t>
          </w:r>
          <w:r>
            <w:rPr>
              <w:b/>
            </w:rPr>
            <w:t>Error! Bookmark not defined.</w:t>
          </w:r>
          <w:r>
            <w:rPr>
              <w:rFonts w:ascii="Calibri" w:eastAsia="Calibri" w:hAnsi="Calibri" w:cs="Calibri"/>
              <w:sz w:val="22"/>
            </w:rPr>
            <w:t xml:space="preserve"> </w:t>
          </w:r>
          <w:r>
            <w:t>1.1</w:t>
          </w:r>
          <w:r>
            <w:rPr>
              <w:rFonts w:ascii="Calibri" w:eastAsia="Calibri" w:hAnsi="Calibri" w:cs="Calibri"/>
              <w:sz w:val="22"/>
            </w:rPr>
            <w:t xml:space="preserve"> </w:t>
          </w:r>
          <w:r>
            <w:t>Scope .................</w:t>
          </w:r>
          <w:r>
            <w:t xml:space="preserve">................................................... </w:t>
          </w:r>
          <w:r>
            <w:rPr>
              <w:b/>
            </w:rPr>
            <w:t>Error! Bookmark not defined.</w:t>
          </w:r>
          <w:r>
            <w:rPr>
              <w:rFonts w:ascii="Calibri" w:eastAsia="Calibri" w:hAnsi="Calibri" w:cs="Calibri"/>
              <w:sz w:val="22"/>
            </w:rPr>
            <w:t xml:space="preserve"> </w:t>
          </w:r>
          <w:r>
            <w:t>1.2</w:t>
          </w:r>
          <w:r>
            <w:rPr>
              <w:rFonts w:ascii="Calibri" w:eastAsia="Calibri" w:hAnsi="Calibri" w:cs="Calibri"/>
              <w:sz w:val="22"/>
            </w:rPr>
            <w:t xml:space="preserve"> </w:t>
          </w:r>
          <w:r>
            <w:t xml:space="preserve">Abbreviations ......................................................... </w:t>
          </w:r>
          <w:r>
            <w:rPr>
              <w:b/>
            </w:rPr>
            <w:t>Error! Bookmark not defined.</w:t>
          </w:r>
          <w:r>
            <w:rPr>
              <w:rFonts w:ascii="Calibri" w:eastAsia="Calibri" w:hAnsi="Calibri" w:cs="Calibri"/>
              <w:sz w:val="22"/>
            </w:rPr>
            <w:t xml:space="preserve"> </w:t>
          </w:r>
          <w:r>
            <w:t>2.0</w:t>
          </w:r>
          <w:r>
            <w:rPr>
              <w:rFonts w:ascii="Calibri" w:eastAsia="Calibri" w:hAnsi="Calibri" w:cs="Calibri"/>
              <w:sz w:val="22"/>
            </w:rPr>
            <w:t xml:space="preserve"> </w:t>
          </w:r>
          <w:r>
            <w:t>GLOSSARY .........................................................</w:t>
          </w:r>
          <w:r>
            <w:t xml:space="preserve">..... </w:t>
          </w:r>
          <w:r>
            <w:rPr>
              <w:b/>
            </w:rPr>
            <w:t>Error! Bookmark not defined.</w:t>
          </w:r>
          <w:r>
            <w:rPr>
              <w:rFonts w:ascii="Calibri" w:eastAsia="Calibri" w:hAnsi="Calibri" w:cs="Calibri"/>
              <w:sz w:val="22"/>
            </w:rPr>
            <w:t xml:space="preserve"> </w:t>
          </w:r>
        </w:p>
        <w:p w:rsidR="00784B83" w:rsidRDefault="00250436">
          <w:pPr>
            <w:pStyle w:val="TOC1"/>
            <w:tabs>
              <w:tab w:val="right" w:leader="dot" w:pos="9352"/>
            </w:tabs>
          </w:pPr>
          <w:r>
            <w:fldChar w:fldCharType="begin"/>
          </w:r>
          <w:r>
            <w:instrText xml:space="preserve"> TOC \o "1-1" \h \z \u </w:instrText>
          </w:r>
          <w:r>
            <w:fldChar w:fldCharType="separate"/>
          </w:r>
          <w:hyperlink w:anchor="_Toc10337">
            <w:r>
              <w:t>3.0</w:t>
            </w:r>
            <w:r>
              <w:rPr>
                <w:rFonts w:ascii="Calibri" w:eastAsia="Calibri" w:hAnsi="Calibri" w:cs="Calibri"/>
                <w:sz w:val="22"/>
              </w:rPr>
              <w:t xml:space="preserve"> </w:t>
            </w:r>
            <w:r>
              <w:t>REQUIREMENTS</w:t>
            </w:r>
            <w:r>
              <w:tab/>
            </w:r>
            <w:r>
              <w:fldChar w:fldCharType="begin"/>
            </w:r>
            <w:r>
              <w:instrText>PAGEREF _Toc10337 \h</w:instrText>
            </w:r>
            <w:r>
              <w:fldChar w:fldCharType="separate"/>
            </w:r>
            <w:r>
              <w:t xml:space="preserve">3 </w:t>
            </w:r>
            <w:r>
              <w:fldChar w:fldCharType="end"/>
            </w:r>
          </w:hyperlink>
        </w:p>
        <w:p w:rsidR="00784B83" w:rsidRDefault="00250436">
          <w:pPr>
            <w:pStyle w:val="TOC1"/>
            <w:tabs>
              <w:tab w:val="right" w:leader="dot" w:pos="9352"/>
            </w:tabs>
          </w:pPr>
          <w:hyperlink w:anchor="_Toc10338">
            <w:r>
              <w:t>3.1</w:t>
            </w:r>
            <w:r>
              <w:rPr>
                <w:rFonts w:ascii="Calibri" w:eastAsia="Calibri" w:hAnsi="Calibri" w:cs="Calibri"/>
                <w:sz w:val="22"/>
              </w:rPr>
              <w:t xml:space="preserve">  </w:t>
            </w:r>
            <w:r>
              <w:t>General Requirements</w:t>
            </w:r>
            <w:r>
              <w:tab/>
            </w:r>
            <w:r>
              <w:fldChar w:fldCharType="begin"/>
            </w:r>
            <w:r>
              <w:instrText>PAGEREF _Toc10338 \h</w:instrText>
            </w:r>
            <w:r>
              <w:fldChar w:fldCharType="separate"/>
            </w:r>
            <w:r>
              <w:t xml:space="preserve">3 </w:t>
            </w:r>
            <w:r>
              <w:fldChar w:fldCharType="end"/>
            </w:r>
          </w:hyperlink>
        </w:p>
        <w:p w:rsidR="00784B83" w:rsidRDefault="00250436">
          <w:pPr>
            <w:pStyle w:val="TOC1"/>
            <w:tabs>
              <w:tab w:val="right" w:leader="dot" w:pos="9352"/>
            </w:tabs>
          </w:pPr>
          <w:hyperlink w:anchor="_Toc10339">
            <w:r>
              <w:t>3.2</w:t>
            </w:r>
            <w:r>
              <w:rPr>
                <w:rFonts w:ascii="Calibri" w:eastAsia="Calibri" w:hAnsi="Calibri" w:cs="Calibri"/>
                <w:sz w:val="22"/>
              </w:rPr>
              <w:t xml:space="preserve">  </w:t>
            </w:r>
            <w:r>
              <w:t>Applying for I</w:t>
            </w:r>
            <w:r>
              <w:t>mport/Clearance Permit</w:t>
            </w:r>
            <w:r>
              <w:tab/>
            </w:r>
            <w:r>
              <w:fldChar w:fldCharType="begin"/>
            </w:r>
            <w:r>
              <w:instrText>PAGEREF _Toc10339 \h</w:instrText>
            </w:r>
            <w:r>
              <w:fldChar w:fldCharType="separate"/>
            </w:r>
            <w:r>
              <w:t xml:space="preserve">5 </w:t>
            </w:r>
            <w:r>
              <w:fldChar w:fldCharType="end"/>
            </w:r>
          </w:hyperlink>
        </w:p>
        <w:p w:rsidR="00784B83" w:rsidRDefault="00250436">
          <w:pPr>
            <w:pStyle w:val="TOC1"/>
            <w:tabs>
              <w:tab w:val="right" w:leader="dot" w:pos="9352"/>
            </w:tabs>
          </w:pPr>
          <w:hyperlink w:anchor="_Toc10340">
            <w:r>
              <w:t>4.0</w:t>
            </w:r>
            <w:r>
              <w:rPr>
                <w:rFonts w:ascii="Calibri" w:eastAsia="Calibri" w:hAnsi="Calibri" w:cs="Calibri"/>
                <w:sz w:val="22"/>
              </w:rPr>
              <w:t xml:space="preserve"> </w:t>
            </w:r>
            <w:r>
              <w:t>SANCTIONS AND PENALTIES</w:t>
            </w:r>
            <w:r>
              <w:tab/>
            </w:r>
            <w:r>
              <w:fldChar w:fldCharType="begin"/>
            </w:r>
            <w:r>
              <w:instrText>PAGEREF _Toc10340 \h</w:instrText>
            </w:r>
            <w:r>
              <w:fldChar w:fldCharType="separate"/>
            </w:r>
            <w:r>
              <w:t xml:space="preserve">6 </w:t>
            </w:r>
            <w:r>
              <w:fldChar w:fldCharType="end"/>
            </w:r>
          </w:hyperlink>
        </w:p>
        <w:p w:rsidR="00784B83" w:rsidRDefault="00250436">
          <w:pPr>
            <w:pStyle w:val="TOC1"/>
            <w:tabs>
              <w:tab w:val="right" w:leader="dot" w:pos="9352"/>
            </w:tabs>
          </w:pPr>
          <w:hyperlink w:anchor="_Toc10341">
            <w:r>
              <w:t>5.0</w:t>
            </w:r>
            <w:r>
              <w:rPr>
                <w:rFonts w:ascii="Calibri" w:eastAsia="Calibri" w:hAnsi="Calibri" w:cs="Calibri"/>
                <w:sz w:val="22"/>
              </w:rPr>
              <w:t xml:space="preserve"> </w:t>
            </w:r>
            <w:r>
              <w:t>APPENDIX</w:t>
            </w:r>
            <w:r>
              <w:tab/>
            </w:r>
            <w:r>
              <w:fldChar w:fldCharType="begin"/>
            </w:r>
            <w:r>
              <w:instrText>PAGEREF _Toc10341 \h</w:instrText>
            </w:r>
            <w:r>
              <w:fldChar w:fldCharType="separate"/>
            </w:r>
            <w:r>
              <w:t xml:space="preserve">7 </w:t>
            </w:r>
            <w:r>
              <w:fldChar w:fldCharType="end"/>
            </w:r>
          </w:hyperlink>
        </w:p>
        <w:p w:rsidR="00784B83" w:rsidRDefault="00250436">
          <w:r>
            <w:fldChar w:fldCharType="end"/>
          </w:r>
        </w:p>
      </w:sdtContent>
    </w:sdt>
    <w:p w:rsidR="00784B83" w:rsidRDefault="00250436">
      <w:pPr>
        <w:spacing w:after="0" w:line="259" w:lineRule="auto"/>
        <w:ind w:left="0" w:firstLine="0"/>
        <w:jc w:val="left"/>
      </w:pPr>
      <w:r>
        <w:rPr>
          <w:b/>
        </w:rPr>
        <w:t xml:space="preserve"> </w:t>
      </w:r>
    </w:p>
    <w:p w:rsidR="00784B83" w:rsidRDefault="00250436">
      <w:pPr>
        <w:spacing w:after="2" w:line="450" w:lineRule="auto"/>
        <w:ind w:left="0" w:right="9285" w:firstLine="0"/>
        <w:jc w:val="left"/>
      </w:pPr>
      <w:r>
        <w:t xml:space="preserve">     </w:t>
      </w:r>
    </w:p>
    <w:p w:rsidR="00784B83" w:rsidRDefault="00250436">
      <w:pPr>
        <w:spacing w:after="2" w:line="450" w:lineRule="auto"/>
        <w:ind w:left="0" w:right="9285" w:firstLine="0"/>
        <w:jc w:val="left"/>
      </w:pPr>
      <w:r>
        <w:t xml:space="preserve">       </w:t>
      </w:r>
    </w:p>
    <w:p w:rsidR="00784B83" w:rsidRDefault="00250436">
      <w:pPr>
        <w:spacing w:after="1651" w:line="259" w:lineRule="auto"/>
        <w:ind w:left="0" w:firstLine="0"/>
        <w:jc w:val="left"/>
      </w:pPr>
      <w:r>
        <w:t xml:space="preserve"> </w:t>
      </w:r>
    </w:p>
    <w:p w:rsidR="00784B83" w:rsidRDefault="00250436">
      <w:pPr>
        <w:spacing w:after="0" w:line="239" w:lineRule="auto"/>
        <w:ind w:left="0" w:right="4497" w:firstLine="4604"/>
        <w:jc w:val="left"/>
      </w:pPr>
      <w:r>
        <w:rPr>
          <w:rFonts w:ascii="Calibri" w:eastAsia="Calibri" w:hAnsi="Calibri" w:cs="Calibri"/>
          <w:sz w:val="22"/>
        </w:rPr>
        <w:t xml:space="preserve"> ii   </w:t>
      </w:r>
    </w:p>
    <w:p w:rsidR="00784B83" w:rsidRDefault="00784B83">
      <w:pPr>
        <w:sectPr w:rsidR="00784B83">
          <w:headerReference w:type="even" r:id="rId8"/>
          <w:headerReference w:type="default" r:id="rId9"/>
          <w:footerReference w:type="even" r:id="rId10"/>
          <w:footerReference w:type="default" r:id="rId11"/>
          <w:headerReference w:type="first" r:id="rId12"/>
          <w:footerReference w:type="first" r:id="rId13"/>
          <w:pgSz w:w="12240" w:h="15840"/>
          <w:pgMar w:top="1998" w:right="1448" w:bottom="1081" w:left="1440" w:header="720" w:footer="720" w:gutter="0"/>
          <w:cols w:space="720"/>
        </w:sectPr>
      </w:pPr>
    </w:p>
    <w:p w:rsidR="00784B83" w:rsidRDefault="00250436">
      <w:pPr>
        <w:pStyle w:val="Heading2"/>
        <w:tabs>
          <w:tab w:val="center" w:pos="562"/>
          <w:tab w:val="center" w:pos="2001"/>
        </w:tabs>
        <w:ind w:left="0" w:firstLine="0"/>
      </w:pPr>
      <w:r>
        <w:rPr>
          <w:rFonts w:ascii="Calibri" w:eastAsia="Calibri" w:hAnsi="Calibri" w:cs="Calibri"/>
          <w:b w:val="0"/>
          <w:sz w:val="22"/>
        </w:rPr>
        <w:lastRenderedPageBreak/>
        <w:tab/>
      </w:r>
      <w:r>
        <w:t xml:space="preserve">1.0. </w:t>
      </w:r>
      <w:r>
        <w:tab/>
      </w:r>
      <w:r>
        <w:t xml:space="preserve">INTRODUCTION </w:t>
      </w:r>
    </w:p>
    <w:p w:rsidR="00784B83" w:rsidRDefault="00250436">
      <w:pPr>
        <w:spacing w:after="0" w:line="259" w:lineRule="auto"/>
        <w:ind w:left="360" w:firstLine="0"/>
        <w:jc w:val="left"/>
      </w:pPr>
      <w:r>
        <w:rPr>
          <w:b/>
        </w:rPr>
        <w:t xml:space="preserve"> </w:t>
      </w:r>
    </w:p>
    <w:p w:rsidR="00784B83" w:rsidRDefault="00250436">
      <w:pPr>
        <w:ind w:left="370"/>
      </w:pPr>
      <w:r>
        <w:t>Effective regulation of the importation and exportation of internationally traded goods is key in ensuring the protection of the health and safety of consumers around the world. Clearance of imported frozen meat, fish, shellfish and other a</w:t>
      </w:r>
      <w:r>
        <w:t>quatic invertebrates, as carried out by the Food and Drugs Authority (FDA) at the port, typically involves permit issuance and inspection, both of which are mandated by the Public Health Act, Act 851 of 2012, as a measure to check potential foodborne disea</w:t>
      </w:r>
      <w:r>
        <w:t xml:space="preserve">ses associated with the consumption of these products. </w:t>
      </w:r>
    </w:p>
    <w:p w:rsidR="00784B83" w:rsidRDefault="00250436">
      <w:pPr>
        <w:spacing w:after="0" w:line="259" w:lineRule="auto"/>
        <w:ind w:left="360" w:firstLine="0"/>
        <w:jc w:val="left"/>
      </w:pPr>
      <w:r>
        <w:t xml:space="preserve"> </w:t>
      </w:r>
    </w:p>
    <w:p w:rsidR="00784B83" w:rsidRDefault="00250436">
      <w:pPr>
        <w:ind w:left="370"/>
      </w:pPr>
      <w:r>
        <w:t>These guidelines outline the processes and procedures involved in the application for and issuance of electronic permits as well as the inspection and release of consignments of imported frozen meat</w:t>
      </w:r>
      <w:r>
        <w:t xml:space="preserve">, fish, shellfish and other aquatic invertebrates.  </w:t>
      </w:r>
    </w:p>
    <w:p w:rsidR="00784B83" w:rsidRDefault="00250436">
      <w:pPr>
        <w:spacing w:after="0" w:line="259" w:lineRule="auto"/>
        <w:ind w:left="360" w:firstLine="0"/>
        <w:jc w:val="left"/>
      </w:pPr>
      <w:r>
        <w:t xml:space="preserve"> </w:t>
      </w:r>
    </w:p>
    <w:p w:rsidR="00784B83" w:rsidRDefault="00250436">
      <w:pPr>
        <w:spacing w:after="5" w:line="250" w:lineRule="auto"/>
        <w:ind w:left="370"/>
        <w:jc w:val="left"/>
      </w:pPr>
      <w:r>
        <w:rPr>
          <w:b/>
        </w:rPr>
        <w:t xml:space="preserve">These guidelines are hereby promulgated for information, guidance and strict adherence by all concerned </w:t>
      </w:r>
    </w:p>
    <w:p w:rsidR="00784B83" w:rsidRDefault="00250436">
      <w:pPr>
        <w:spacing w:after="259" w:line="259" w:lineRule="auto"/>
        <w:ind w:left="360" w:firstLine="0"/>
        <w:jc w:val="left"/>
      </w:pPr>
      <w:r>
        <w:t xml:space="preserve"> </w:t>
      </w:r>
    </w:p>
    <w:p w:rsidR="00784B83" w:rsidRDefault="00250436">
      <w:pPr>
        <w:pStyle w:val="Heading2"/>
        <w:tabs>
          <w:tab w:val="center" w:pos="562"/>
          <w:tab w:val="center" w:pos="1441"/>
        </w:tabs>
        <w:spacing w:after="55"/>
        <w:ind w:left="0" w:firstLine="0"/>
      </w:pPr>
      <w:r>
        <w:rPr>
          <w:rFonts w:ascii="Calibri" w:eastAsia="Calibri" w:hAnsi="Calibri" w:cs="Calibri"/>
          <w:b w:val="0"/>
          <w:sz w:val="22"/>
        </w:rPr>
        <w:tab/>
      </w:r>
      <w:r>
        <w:t xml:space="preserve">1.1. </w:t>
      </w:r>
      <w:r>
        <w:tab/>
        <w:t xml:space="preserve">Scope </w:t>
      </w:r>
    </w:p>
    <w:p w:rsidR="00784B83" w:rsidRDefault="00250436">
      <w:pPr>
        <w:spacing w:after="0" w:line="259" w:lineRule="auto"/>
        <w:ind w:left="360" w:firstLine="0"/>
        <w:jc w:val="left"/>
      </w:pPr>
      <w:r>
        <w:t xml:space="preserve"> </w:t>
      </w:r>
    </w:p>
    <w:p w:rsidR="00784B83" w:rsidRDefault="00250436">
      <w:pPr>
        <w:ind w:left="370"/>
      </w:pPr>
      <w:r>
        <w:t>In the exercise of the powers conferred on the Food and Drugs Authority by Par</w:t>
      </w:r>
      <w:r>
        <w:t>t 7, section 99 of the Public Health Act, Act 851 of 2012, and in order to ensure the safety and quality of imported frozen meat, fish, shellfish and other aquatic invertebrates as required by the Code of Hygienic Practice for meat (CAC/RCP 58-2005) and th</w:t>
      </w:r>
      <w:r>
        <w:t xml:space="preserve">e Code of Practice for Fish and Fishery Products (CAC/RCP 52-2003); these guidelines apply to all imports of frozen meat, fish, shellfish and other aquatic invertebrates to be distributed or offered for sale for human or animal consumption.  </w:t>
      </w:r>
    </w:p>
    <w:p w:rsidR="00784B83" w:rsidRDefault="00250436">
      <w:pPr>
        <w:spacing w:after="0" w:line="259" w:lineRule="auto"/>
        <w:ind w:left="360" w:firstLine="0"/>
        <w:jc w:val="left"/>
      </w:pPr>
      <w:r>
        <w:t xml:space="preserve"> </w:t>
      </w:r>
    </w:p>
    <w:p w:rsidR="00784B83" w:rsidRDefault="00250436">
      <w:pPr>
        <w:ind w:left="370"/>
      </w:pPr>
      <w:r>
        <w:t xml:space="preserve">The purpose of these guidelines is to provide importers of frozen meat, fish, shellfish and other aquatic invertebrates guidance in meeting the legal and regulatory requirements of the Food and Drugs Authority (FDA) in order to avoid or reduce food safety </w:t>
      </w:r>
      <w:r>
        <w:t xml:space="preserve">risks associated with the consumption of frozen meat, fish, shellfish and other aquatic invertebrates. </w:t>
      </w:r>
    </w:p>
    <w:p w:rsidR="00784B83" w:rsidRDefault="00250436">
      <w:pPr>
        <w:spacing w:after="0" w:line="259" w:lineRule="auto"/>
        <w:ind w:left="360" w:firstLine="0"/>
        <w:jc w:val="left"/>
      </w:pPr>
      <w:r>
        <w:rPr>
          <w:b/>
        </w:rPr>
        <w:t xml:space="preserve"> </w:t>
      </w:r>
    </w:p>
    <w:p w:rsidR="00784B83" w:rsidRDefault="00250436">
      <w:pPr>
        <w:pStyle w:val="Heading2"/>
        <w:tabs>
          <w:tab w:val="center" w:pos="653"/>
          <w:tab w:val="center" w:pos="1973"/>
        </w:tabs>
        <w:spacing w:after="115"/>
        <w:ind w:left="0" w:firstLine="0"/>
      </w:pPr>
      <w:r>
        <w:rPr>
          <w:rFonts w:ascii="Calibri" w:eastAsia="Calibri" w:hAnsi="Calibri" w:cs="Calibri"/>
          <w:b w:val="0"/>
          <w:sz w:val="22"/>
        </w:rPr>
        <w:tab/>
      </w:r>
      <w:r>
        <w:t xml:space="preserve">1.2. </w:t>
      </w:r>
      <w:r>
        <w:tab/>
        <w:t xml:space="preserve">Abbreviations </w:t>
      </w:r>
    </w:p>
    <w:p w:rsidR="00784B83" w:rsidRDefault="00250436">
      <w:pPr>
        <w:tabs>
          <w:tab w:val="center" w:pos="1500"/>
          <w:tab w:val="center" w:pos="2520"/>
          <w:tab w:val="center" w:pos="4607"/>
        </w:tabs>
        <w:spacing w:after="117"/>
        <w:ind w:left="0" w:firstLine="0"/>
        <w:jc w:val="left"/>
      </w:pPr>
      <w:r>
        <w:rPr>
          <w:rFonts w:ascii="Calibri" w:eastAsia="Calibri" w:hAnsi="Calibri" w:cs="Calibri"/>
          <w:sz w:val="22"/>
        </w:rPr>
        <w:tab/>
      </w:r>
      <w:proofErr w:type="gramStart"/>
      <w:r>
        <w:t xml:space="preserve">FDA  </w:t>
      </w:r>
      <w:r>
        <w:tab/>
      </w:r>
      <w:proofErr w:type="gramEnd"/>
      <w:r>
        <w:t xml:space="preserve"> </w:t>
      </w:r>
      <w:r>
        <w:tab/>
        <w:t xml:space="preserve">Food and Drugs Authority </w:t>
      </w:r>
    </w:p>
    <w:p w:rsidR="00784B83" w:rsidRDefault="00250436">
      <w:pPr>
        <w:tabs>
          <w:tab w:val="center" w:pos="1594"/>
          <w:tab w:val="center" w:pos="2520"/>
          <w:tab w:val="center" w:pos="5773"/>
        </w:tabs>
        <w:spacing w:after="116"/>
        <w:ind w:left="0" w:firstLine="0"/>
        <w:jc w:val="left"/>
      </w:pPr>
      <w:r>
        <w:rPr>
          <w:rFonts w:ascii="Calibri" w:eastAsia="Calibri" w:hAnsi="Calibri" w:cs="Calibri"/>
          <w:sz w:val="22"/>
        </w:rPr>
        <w:tab/>
      </w:r>
      <w:proofErr w:type="spellStart"/>
      <w:r>
        <w:t>eMDA</w:t>
      </w:r>
      <w:proofErr w:type="spellEnd"/>
      <w:r>
        <w:t xml:space="preserve"> </w:t>
      </w:r>
      <w:r>
        <w:tab/>
        <w:t xml:space="preserve"> </w:t>
      </w:r>
      <w:r>
        <w:tab/>
        <w:t xml:space="preserve">electronic Ministries Departments and Agencies </w:t>
      </w:r>
    </w:p>
    <w:p w:rsidR="00784B83" w:rsidRDefault="00250436">
      <w:pPr>
        <w:tabs>
          <w:tab w:val="center" w:pos="1627"/>
          <w:tab w:val="center" w:pos="2520"/>
          <w:tab w:val="center" w:pos="5208"/>
        </w:tabs>
        <w:spacing w:after="116"/>
        <w:ind w:left="0" w:firstLine="0"/>
        <w:jc w:val="left"/>
      </w:pPr>
      <w:r>
        <w:rPr>
          <w:rFonts w:ascii="Calibri" w:eastAsia="Calibri" w:hAnsi="Calibri" w:cs="Calibri"/>
          <w:sz w:val="22"/>
        </w:rPr>
        <w:tab/>
      </w:r>
      <w:proofErr w:type="spellStart"/>
      <w:r>
        <w:t>GCNet</w:t>
      </w:r>
      <w:proofErr w:type="spellEnd"/>
      <w:r>
        <w:t xml:space="preserve"> </w:t>
      </w:r>
      <w:r>
        <w:tab/>
        <w:t xml:space="preserve"> </w:t>
      </w:r>
      <w:r>
        <w:tab/>
        <w:t>Ghana Community Network Se</w:t>
      </w:r>
      <w:r>
        <w:t xml:space="preserve">rvices </w:t>
      </w:r>
    </w:p>
    <w:p w:rsidR="00784B83" w:rsidRDefault="00250436">
      <w:pPr>
        <w:tabs>
          <w:tab w:val="center" w:pos="1748"/>
          <w:tab w:val="center" w:pos="4641"/>
        </w:tabs>
        <w:spacing w:after="116"/>
        <w:ind w:left="0" w:firstLine="0"/>
        <w:jc w:val="left"/>
      </w:pPr>
      <w:r>
        <w:rPr>
          <w:rFonts w:ascii="Calibri" w:eastAsia="Calibri" w:hAnsi="Calibri" w:cs="Calibri"/>
          <w:sz w:val="22"/>
        </w:rPr>
        <w:tab/>
      </w:r>
      <w:r>
        <w:t xml:space="preserve">HS Code   </w:t>
      </w:r>
      <w:r>
        <w:tab/>
      </w:r>
      <w:proofErr w:type="spellStart"/>
      <w:r>
        <w:t>Harmonised</w:t>
      </w:r>
      <w:proofErr w:type="spellEnd"/>
      <w:r>
        <w:t xml:space="preserve"> System Code </w:t>
      </w:r>
    </w:p>
    <w:p w:rsidR="00784B83" w:rsidRDefault="00250436">
      <w:pPr>
        <w:spacing w:after="98" w:line="259" w:lineRule="auto"/>
        <w:ind w:left="1080" w:firstLine="0"/>
        <w:jc w:val="left"/>
      </w:pPr>
      <w:r>
        <w:t xml:space="preserve"> </w:t>
      </w:r>
    </w:p>
    <w:p w:rsidR="00784B83" w:rsidRDefault="00250436">
      <w:pPr>
        <w:spacing w:after="0" w:line="259" w:lineRule="auto"/>
        <w:ind w:left="1080" w:firstLine="0"/>
        <w:jc w:val="left"/>
      </w:pPr>
      <w:r>
        <w:lastRenderedPageBreak/>
        <w:t xml:space="preserve"> </w:t>
      </w:r>
    </w:p>
    <w:p w:rsidR="00784B83" w:rsidRDefault="00250436">
      <w:pPr>
        <w:pStyle w:val="Heading2"/>
        <w:tabs>
          <w:tab w:val="center" w:pos="1394"/>
        </w:tabs>
        <w:ind w:left="-15" w:firstLine="0"/>
      </w:pPr>
      <w:r>
        <w:t xml:space="preserve">2.0. </w:t>
      </w:r>
      <w:r>
        <w:tab/>
        <w:t xml:space="preserve">GLOSSARY </w:t>
      </w:r>
    </w:p>
    <w:p w:rsidR="00784B83" w:rsidRDefault="00250436">
      <w:pPr>
        <w:spacing w:after="0" w:line="259" w:lineRule="auto"/>
        <w:ind w:left="360" w:firstLine="0"/>
        <w:jc w:val="left"/>
      </w:pPr>
      <w:r>
        <w:t xml:space="preserve"> </w:t>
      </w:r>
    </w:p>
    <w:p w:rsidR="00784B83" w:rsidRDefault="00250436">
      <w:pPr>
        <w:ind w:left="370"/>
      </w:pPr>
      <w:r>
        <w:t xml:space="preserve">For the purpose of these guidelines, unless the context otherwise requires,  </w:t>
      </w:r>
    </w:p>
    <w:p w:rsidR="00784B83" w:rsidRDefault="00250436">
      <w:pPr>
        <w:spacing w:after="18" w:line="259" w:lineRule="auto"/>
        <w:ind w:left="360" w:firstLine="0"/>
        <w:jc w:val="left"/>
      </w:pPr>
      <w:r>
        <w:t xml:space="preserve"> </w:t>
      </w:r>
    </w:p>
    <w:p w:rsidR="00784B83" w:rsidRDefault="00250436">
      <w:pPr>
        <w:ind w:left="370"/>
      </w:pPr>
      <w:r>
        <w:t>“</w:t>
      </w:r>
      <w:r>
        <w:rPr>
          <w:b/>
          <w:i/>
        </w:rPr>
        <w:t>label</w:t>
      </w:r>
      <w:r>
        <w:t xml:space="preserve">” means any tag, brand, mark, pictorial or other descriptive matter, written, printed, </w:t>
      </w:r>
      <w:proofErr w:type="spellStart"/>
      <w:r>
        <w:t>stencilled</w:t>
      </w:r>
      <w:proofErr w:type="spellEnd"/>
      <w:r>
        <w:t xml:space="preserve">, marked, embossed or impressed on, or attached to, a container of food; </w:t>
      </w:r>
    </w:p>
    <w:p w:rsidR="00784B83" w:rsidRDefault="00250436">
      <w:pPr>
        <w:spacing w:after="0" w:line="259" w:lineRule="auto"/>
        <w:ind w:left="360" w:firstLine="0"/>
        <w:jc w:val="left"/>
      </w:pPr>
      <w:r>
        <w:t xml:space="preserve"> </w:t>
      </w:r>
    </w:p>
    <w:p w:rsidR="00784B83" w:rsidRDefault="00250436">
      <w:pPr>
        <w:ind w:left="370"/>
      </w:pPr>
      <w:r>
        <w:rPr>
          <w:b/>
          <w:i/>
        </w:rPr>
        <w:t xml:space="preserve">“non-compliant/non-conforming product” </w:t>
      </w:r>
      <w:r>
        <w:t xml:space="preserve">means any or all of these; product is unregistered, unwholesome, banned, has too short a shelf life or does not conform to labelling rules; </w:t>
      </w:r>
    </w:p>
    <w:p w:rsidR="00784B83" w:rsidRDefault="00250436">
      <w:pPr>
        <w:spacing w:after="0" w:line="259" w:lineRule="auto"/>
        <w:ind w:left="360" w:firstLine="0"/>
        <w:jc w:val="left"/>
      </w:pPr>
      <w:r>
        <w:t xml:space="preserve"> </w:t>
      </w:r>
    </w:p>
    <w:p w:rsidR="00784B83" w:rsidRDefault="00250436">
      <w:pPr>
        <w:ind w:left="370"/>
      </w:pPr>
      <w:r>
        <w:rPr>
          <w:b/>
          <w:i/>
        </w:rPr>
        <w:t xml:space="preserve">“frozen” </w:t>
      </w:r>
      <w:r>
        <w:t>means the product has been subjected to a freezing process sufficient to reduce the temperature of the w</w:t>
      </w:r>
      <w:r>
        <w:t xml:space="preserve">hole product to a level low enough to preserve its inherent quality; </w:t>
      </w:r>
    </w:p>
    <w:p w:rsidR="00784B83" w:rsidRDefault="00250436">
      <w:pPr>
        <w:spacing w:after="0" w:line="259" w:lineRule="auto"/>
        <w:ind w:left="360" w:firstLine="0"/>
        <w:jc w:val="left"/>
      </w:pPr>
      <w:r>
        <w:t xml:space="preserve"> </w:t>
      </w:r>
    </w:p>
    <w:p w:rsidR="00784B83" w:rsidRDefault="00250436">
      <w:pPr>
        <w:ind w:left="370"/>
      </w:pPr>
      <w:r>
        <w:rPr>
          <w:b/>
          <w:i/>
        </w:rPr>
        <w:t>“meat”</w:t>
      </w:r>
      <w:r>
        <w:t xml:space="preserve"> means all parts of domestic ungulates, domestic </w:t>
      </w:r>
      <w:proofErr w:type="spellStart"/>
      <w:r>
        <w:t>solipeds</w:t>
      </w:r>
      <w:proofErr w:type="spellEnd"/>
      <w:r>
        <w:t>, domestic birds, lagomorphs, farmed game, farmed game birds (including ratites) and wild game, that are intended for, or</w:t>
      </w:r>
      <w:r>
        <w:t xml:space="preserve"> have been judged as safe and suitable for human consumption. </w:t>
      </w:r>
    </w:p>
    <w:p w:rsidR="00784B83" w:rsidRDefault="00250436">
      <w:pPr>
        <w:spacing w:after="0" w:line="259" w:lineRule="auto"/>
        <w:ind w:left="360" w:firstLine="0"/>
        <w:jc w:val="left"/>
      </w:pPr>
      <w:r>
        <w:t xml:space="preserve"> </w:t>
      </w:r>
    </w:p>
    <w:p w:rsidR="00784B83" w:rsidRDefault="00250436">
      <w:pPr>
        <w:ind w:left="370"/>
      </w:pPr>
      <w:r>
        <w:t>“</w:t>
      </w:r>
      <w:r>
        <w:rPr>
          <w:b/>
        </w:rPr>
        <w:t>f</w:t>
      </w:r>
      <w:r>
        <w:rPr>
          <w:b/>
          <w:i/>
        </w:rPr>
        <w:t>ish</w:t>
      </w:r>
      <w:r>
        <w:t xml:space="preserve">” means any of the cold-blooded (ectothermic) aquatic vertebrates, including whole round fish (i.e. fish as captured, </w:t>
      </w:r>
      <w:proofErr w:type="spellStart"/>
      <w:r>
        <w:t>ungutted</w:t>
      </w:r>
      <w:proofErr w:type="spellEnd"/>
      <w:r>
        <w:t>) and fillets – amphibians and aquatic reptiles are not incl</w:t>
      </w:r>
      <w:r>
        <w:t xml:space="preserve">uded; </w:t>
      </w:r>
    </w:p>
    <w:p w:rsidR="00784B83" w:rsidRDefault="00250436">
      <w:pPr>
        <w:spacing w:after="0" w:line="259" w:lineRule="auto"/>
        <w:ind w:left="360" w:firstLine="0"/>
        <w:jc w:val="left"/>
      </w:pPr>
      <w:r>
        <w:t xml:space="preserve"> </w:t>
      </w:r>
    </w:p>
    <w:p w:rsidR="00784B83" w:rsidRDefault="00250436">
      <w:pPr>
        <w:ind w:left="370"/>
      </w:pPr>
      <w:r>
        <w:rPr>
          <w:b/>
          <w:i/>
        </w:rPr>
        <w:t>“shellfish”</w:t>
      </w:r>
      <w:r>
        <w:t xml:space="preserve"> means species of aquatic </w:t>
      </w:r>
      <w:proofErr w:type="spellStart"/>
      <w:r>
        <w:t>molluscs</w:t>
      </w:r>
      <w:proofErr w:type="spellEnd"/>
      <w:r>
        <w:t xml:space="preserve"> and crustaceans that are commonly used for food; </w:t>
      </w:r>
    </w:p>
    <w:p w:rsidR="00784B83" w:rsidRDefault="00250436">
      <w:pPr>
        <w:spacing w:after="0" w:line="259" w:lineRule="auto"/>
        <w:ind w:left="360" w:firstLine="0"/>
        <w:jc w:val="left"/>
      </w:pPr>
      <w:r>
        <w:t xml:space="preserve"> </w:t>
      </w:r>
    </w:p>
    <w:p w:rsidR="00784B83" w:rsidRDefault="00250436">
      <w:pPr>
        <w:ind w:left="370"/>
      </w:pPr>
      <w:r>
        <w:rPr>
          <w:b/>
          <w:i/>
        </w:rPr>
        <w:t>“aquatic invertebrates”</w:t>
      </w:r>
      <w:r>
        <w:t xml:space="preserve"> means aquatic animals, excluding mammalian species, reptiles and amphibians, not defined as shellfish, but intended for human</w:t>
      </w:r>
      <w:r>
        <w:t xml:space="preserve"> consumption; </w:t>
      </w:r>
    </w:p>
    <w:p w:rsidR="00784B83" w:rsidRDefault="00250436">
      <w:pPr>
        <w:spacing w:after="0" w:line="259" w:lineRule="auto"/>
        <w:ind w:left="360" w:firstLine="0"/>
        <w:jc w:val="left"/>
      </w:pPr>
      <w:r>
        <w:t xml:space="preserve"> </w:t>
      </w:r>
    </w:p>
    <w:p w:rsidR="00784B83" w:rsidRDefault="00250436">
      <w:pPr>
        <w:ind w:left="370"/>
      </w:pPr>
      <w:r>
        <w:rPr>
          <w:b/>
          <w:i/>
        </w:rPr>
        <w:t xml:space="preserve">“hazard’ </w:t>
      </w:r>
      <w:r>
        <w:t xml:space="preserve">means a biological, chemical or physical agent in food or the condition of food with the potential to cause an adverse health effect; </w:t>
      </w:r>
    </w:p>
    <w:p w:rsidR="00784B83" w:rsidRDefault="00250436">
      <w:pPr>
        <w:spacing w:after="0" w:line="259" w:lineRule="auto"/>
        <w:ind w:left="360" w:firstLine="0"/>
        <w:jc w:val="left"/>
      </w:pPr>
      <w:r>
        <w:t xml:space="preserve"> </w:t>
      </w:r>
    </w:p>
    <w:p w:rsidR="00784B83" w:rsidRDefault="00250436">
      <w:pPr>
        <w:ind w:left="370"/>
      </w:pPr>
      <w:r>
        <w:t>“</w:t>
      </w:r>
      <w:r>
        <w:rPr>
          <w:b/>
          <w:i/>
        </w:rPr>
        <w:t>rejected food product</w:t>
      </w:r>
      <w:r>
        <w:t>” means the product was deemed unfit to be distributed, sold or used in</w:t>
      </w:r>
      <w:r>
        <w:t xml:space="preserve"> the country for reasons which may include the physical, chemical and/or microbiological hazard it poses, or the product is banned; and </w:t>
      </w:r>
    </w:p>
    <w:p w:rsidR="00784B83" w:rsidRDefault="00250436">
      <w:pPr>
        <w:spacing w:after="0" w:line="259" w:lineRule="auto"/>
        <w:ind w:left="360" w:firstLine="0"/>
        <w:jc w:val="left"/>
      </w:pPr>
      <w:r>
        <w:t xml:space="preserve"> </w:t>
      </w:r>
    </w:p>
    <w:p w:rsidR="00784B83" w:rsidRDefault="00250436">
      <w:pPr>
        <w:spacing w:after="111"/>
        <w:ind w:left="370"/>
      </w:pPr>
      <w:r>
        <w:rPr>
          <w:b/>
          <w:i/>
        </w:rPr>
        <w:t xml:space="preserve">“requirements” </w:t>
      </w:r>
      <w:r>
        <w:t xml:space="preserve">means </w:t>
      </w:r>
      <w:r>
        <w:t xml:space="preserve">the criteria relating to trade in food, covering the protection of public health, the protection of consumers and conditions of fair trade. </w:t>
      </w:r>
    </w:p>
    <w:p w:rsidR="00784B83" w:rsidRDefault="00250436">
      <w:pPr>
        <w:spacing w:after="98" w:line="259" w:lineRule="auto"/>
        <w:ind w:left="360" w:firstLine="0"/>
        <w:jc w:val="left"/>
      </w:pPr>
      <w:r>
        <w:t xml:space="preserve"> </w:t>
      </w:r>
    </w:p>
    <w:p w:rsidR="00784B83" w:rsidRDefault="00250436">
      <w:pPr>
        <w:spacing w:after="98" w:line="259" w:lineRule="auto"/>
        <w:ind w:left="360" w:firstLine="0"/>
        <w:jc w:val="left"/>
      </w:pPr>
      <w:r>
        <w:t xml:space="preserve"> </w:t>
      </w:r>
    </w:p>
    <w:p w:rsidR="00784B83" w:rsidRDefault="00250436">
      <w:pPr>
        <w:spacing w:after="98" w:line="259" w:lineRule="auto"/>
        <w:ind w:left="360" w:firstLine="0"/>
        <w:jc w:val="left"/>
      </w:pPr>
      <w:r>
        <w:lastRenderedPageBreak/>
        <w:t xml:space="preserve"> </w:t>
      </w:r>
    </w:p>
    <w:p w:rsidR="00784B83" w:rsidRDefault="00250436">
      <w:pPr>
        <w:spacing w:after="98" w:line="259" w:lineRule="auto"/>
        <w:ind w:left="360" w:firstLine="0"/>
        <w:jc w:val="left"/>
      </w:pPr>
      <w:r>
        <w:t xml:space="preserve"> </w:t>
      </w:r>
    </w:p>
    <w:p w:rsidR="00784B83" w:rsidRDefault="00250436">
      <w:pPr>
        <w:spacing w:after="0" w:line="259" w:lineRule="auto"/>
        <w:ind w:left="360" w:firstLine="0"/>
        <w:jc w:val="left"/>
      </w:pPr>
      <w:r>
        <w:t xml:space="preserve"> </w:t>
      </w:r>
    </w:p>
    <w:p w:rsidR="00784B83" w:rsidRDefault="00250436">
      <w:pPr>
        <w:pStyle w:val="Heading1"/>
        <w:tabs>
          <w:tab w:val="center" w:pos="1688"/>
        </w:tabs>
        <w:ind w:left="-15" w:firstLine="0"/>
      </w:pPr>
      <w:bookmarkStart w:id="1" w:name="_Toc10337"/>
      <w:r>
        <w:t xml:space="preserve">3.0. </w:t>
      </w:r>
      <w:r>
        <w:tab/>
        <w:t xml:space="preserve">REQUIREMENTS </w:t>
      </w:r>
      <w:bookmarkEnd w:id="1"/>
    </w:p>
    <w:p w:rsidR="00784B83" w:rsidRDefault="00250436">
      <w:pPr>
        <w:spacing w:after="0" w:line="259" w:lineRule="auto"/>
        <w:ind w:left="360" w:firstLine="0"/>
        <w:jc w:val="left"/>
      </w:pPr>
      <w:r>
        <w:rPr>
          <w:b/>
        </w:rPr>
        <w:t xml:space="preserve"> </w:t>
      </w:r>
    </w:p>
    <w:p w:rsidR="00784B83" w:rsidRDefault="00250436">
      <w:pPr>
        <w:pStyle w:val="Heading1"/>
        <w:tabs>
          <w:tab w:val="center" w:pos="1282"/>
          <w:tab w:val="center" w:pos="3081"/>
        </w:tabs>
        <w:ind w:left="0" w:firstLine="0"/>
      </w:pPr>
      <w:bookmarkStart w:id="2" w:name="_Toc10338"/>
      <w:r>
        <w:rPr>
          <w:rFonts w:ascii="Calibri" w:eastAsia="Calibri" w:hAnsi="Calibri" w:cs="Calibri"/>
          <w:b w:val="0"/>
          <w:sz w:val="22"/>
        </w:rPr>
        <w:tab/>
      </w:r>
      <w:r>
        <w:t xml:space="preserve">3.1. </w:t>
      </w:r>
      <w:r>
        <w:tab/>
        <w:t xml:space="preserve">General Requirements </w:t>
      </w:r>
      <w:bookmarkEnd w:id="2"/>
    </w:p>
    <w:p w:rsidR="00784B83" w:rsidRDefault="00250436">
      <w:pPr>
        <w:spacing w:after="0" w:line="259" w:lineRule="auto"/>
        <w:ind w:left="360" w:firstLine="0"/>
        <w:jc w:val="left"/>
      </w:pPr>
      <w:r>
        <w:rPr>
          <w:b/>
        </w:rPr>
        <w:t xml:space="preserve"> </w:t>
      </w:r>
    </w:p>
    <w:p w:rsidR="00784B83" w:rsidRDefault="00250436">
      <w:pPr>
        <w:ind w:left="2505" w:hanging="720"/>
      </w:pPr>
      <w:r>
        <w:t>3.1.1. Only businesses duly licensed by the Food and</w:t>
      </w:r>
      <w:r>
        <w:t xml:space="preserve"> Drugs Authority as an importer in accordance with Part 7, section 122 (1) of the Public Health Act, Act 851 of 2012 shall be permitted to import products. </w:t>
      </w:r>
    </w:p>
    <w:p w:rsidR="00784B83" w:rsidRDefault="00250436">
      <w:pPr>
        <w:spacing w:after="0" w:line="259" w:lineRule="auto"/>
        <w:ind w:left="1637" w:firstLine="0"/>
        <w:jc w:val="left"/>
      </w:pPr>
      <w:r>
        <w:t xml:space="preserve"> </w:t>
      </w:r>
    </w:p>
    <w:p w:rsidR="00784B83" w:rsidRDefault="00250436">
      <w:pPr>
        <w:ind w:left="2505" w:hanging="720"/>
      </w:pPr>
      <w:r>
        <w:t>3.1.2. Frozen meat, fish, shellfish and other aquatic invertebrates to be imported, distributed o</w:t>
      </w:r>
      <w:r>
        <w:t xml:space="preserve">r sold for local consumption must first be registered with the Food and Drugs Authority under Part 7, section 97 of the Public Health Act, Act 851 of 2012. </w:t>
      </w:r>
    </w:p>
    <w:p w:rsidR="00784B83" w:rsidRDefault="00250436">
      <w:pPr>
        <w:spacing w:after="0" w:line="259" w:lineRule="auto"/>
        <w:ind w:left="1080" w:firstLine="0"/>
        <w:jc w:val="left"/>
      </w:pPr>
      <w:r>
        <w:t xml:space="preserve"> </w:t>
      </w:r>
    </w:p>
    <w:p w:rsidR="00784B83" w:rsidRDefault="00250436">
      <w:pPr>
        <w:ind w:left="2505" w:hanging="720"/>
      </w:pPr>
      <w:r>
        <w:t>3.1.3. Furthermore, the storage facility for the supply of frozen meat, fish, shellfish and other</w:t>
      </w:r>
      <w:r>
        <w:t xml:space="preserve"> aquatic invertebrates must be </w:t>
      </w:r>
      <w:proofErr w:type="spellStart"/>
      <w:r>
        <w:t>licenced</w:t>
      </w:r>
      <w:proofErr w:type="spellEnd"/>
      <w:r>
        <w:t xml:space="preserve"> by the authority in accordance with Part 7, sections 103 and 131 (a) of the of the Public Health Act, Act 851 of 2012. </w:t>
      </w:r>
    </w:p>
    <w:p w:rsidR="00784B83" w:rsidRDefault="00250436">
      <w:pPr>
        <w:spacing w:after="0" w:line="259" w:lineRule="auto"/>
        <w:ind w:left="1080" w:firstLine="0"/>
        <w:jc w:val="left"/>
      </w:pPr>
      <w:r>
        <w:t xml:space="preserve"> </w:t>
      </w:r>
    </w:p>
    <w:p w:rsidR="00784B83" w:rsidRDefault="00250436">
      <w:pPr>
        <w:ind w:left="2505" w:hanging="720"/>
      </w:pPr>
      <w:r>
        <w:t xml:space="preserve">3.1.4. </w:t>
      </w:r>
      <w:r>
        <w:t xml:space="preserve">All importers are required to renew their company license with the Authority annually </w:t>
      </w:r>
    </w:p>
    <w:p w:rsidR="00784B83" w:rsidRDefault="00250436">
      <w:pPr>
        <w:spacing w:after="0" w:line="259" w:lineRule="auto"/>
        <w:ind w:left="1080" w:firstLine="0"/>
        <w:jc w:val="left"/>
      </w:pPr>
      <w:r>
        <w:t xml:space="preserve"> </w:t>
      </w:r>
    </w:p>
    <w:p w:rsidR="00784B83" w:rsidRDefault="00250436">
      <w:pPr>
        <w:ind w:left="2505" w:hanging="720"/>
      </w:pPr>
      <w:r>
        <w:t>3.1.5. Importers shall be required to secure an electronic permit (</w:t>
      </w:r>
      <w:proofErr w:type="spellStart"/>
      <w:r>
        <w:t>eMDA</w:t>
      </w:r>
      <w:proofErr w:type="spellEnd"/>
      <w:r>
        <w:t>) for all imports/consignments of frozen meat, fish, shellfish and other aquatic invertebrates v</w:t>
      </w:r>
      <w:r>
        <w:t xml:space="preserve">ia the </w:t>
      </w:r>
      <w:proofErr w:type="spellStart"/>
      <w:r>
        <w:t>GCNet</w:t>
      </w:r>
      <w:proofErr w:type="spellEnd"/>
      <w:r>
        <w:t xml:space="preserve"> prior to importation. The following information must be submitted at the “item details” column on the </w:t>
      </w:r>
      <w:proofErr w:type="spellStart"/>
      <w:r>
        <w:t>eMDA</w:t>
      </w:r>
      <w:proofErr w:type="spellEnd"/>
      <w:r>
        <w:t xml:space="preserve"> portal; </w:t>
      </w:r>
    </w:p>
    <w:p w:rsidR="00784B83" w:rsidRDefault="00250436">
      <w:pPr>
        <w:spacing w:after="0" w:line="259" w:lineRule="auto"/>
        <w:ind w:left="360" w:firstLine="0"/>
        <w:jc w:val="left"/>
      </w:pPr>
      <w:r>
        <w:t xml:space="preserve">   </w:t>
      </w:r>
    </w:p>
    <w:p w:rsidR="00784B83" w:rsidRDefault="00250436">
      <w:pPr>
        <w:numPr>
          <w:ilvl w:val="0"/>
          <w:numId w:val="1"/>
        </w:numPr>
        <w:ind w:hanging="360"/>
      </w:pPr>
      <w:r>
        <w:t xml:space="preserve">Full name of the product </w:t>
      </w:r>
    </w:p>
    <w:p w:rsidR="00784B83" w:rsidRDefault="00250436">
      <w:pPr>
        <w:numPr>
          <w:ilvl w:val="0"/>
          <w:numId w:val="1"/>
        </w:numPr>
        <w:ind w:hanging="360"/>
      </w:pPr>
      <w:r>
        <w:t xml:space="preserve">Name and contact number of Authorized Person </w:t>
      </w:r>
    </w:p>
    <w:p w:rsidR="00784B83" w:rsidRDefault="00250436">
      <w:pPr>
        <w:spacing w:after="0" w:line="259" w:lineRule="auto"/>
        <w:ind w:left="360" w:firstLine="0"/>
        <w:jc w:val="left"/>
      </w:pPr>
      <w:r>
        <w:t xml:space="preserve"> </w:t>
      </w:r>
    </w:p>
    <w:p w:rsidR="00784B83" w:rsidRDefault="00250436">
      <w:pPr>
        <w:spacing w:after="0" w:line="259" w:lineRule="auto"/>
        <w:ind w:left="1080" w:firstLine="0"/>
        <w:jc w:val="left"/>
      </w:pPr>
      <w:r>
        <w:rPr>
          <w:i/>
        </w:rPr>
        <w:t xml:space="preserve"> </w:t>
      </w:r>
    </w:p>
    <w:p w:rsidR="00784B83" w:rsidRDefault="00250436">
      <w:pPr>
        <w:ind w:left="2505" w:hanging="720"/>
      </w:pPr>
      <w:r>
        <w:t xml:space="preserve">3.1.6. </w:t>
      </w:r>
      <w:r>
        <w:t xml:space="preserve">The following information should also be provided or selected at the appropriate column: </w:t>
      </w:r>
    </w:p>
    <w:p w:rsidR="00784B83" w:rsidRDefault="00250436">
      <w:pPr>
        <w:spacing w:after="0" w:line="259" w:lineRule="auto"/>
        <w:ind w:left="360" w:firstLine="0"/>
        <w:jc w:val="left"/>
      </w:pPr>
      <w:r>
        <w:t xml:space="preserve"> </w:t>
      </w:r>
    </w:p>
    <w:p w:rsidR="00784B83" w:rsidRDefault="00250436">
      <w:pPr>
        <w:numPr>
          <w:ilvl w:val="0"/>
          <w:numId w:val="1"/>
        </w:numPr>
        <w:spacing w:after="0" w:line="259" w:lineRule="auto"/>
        <w:ind w:hanging="360"/>
      </w:pPr>
      <w:r>
        <w:t xml:space="preserve">Appropriate HS Code for the product </w:t>
      </w:r>
    </w:p>
    <w:p w:rsidR="00784B83" w:rsidRDefault="00250436">
      <w:pPr>
        <w:numPr>
          <w:ilvl w:val="0"/>
          <w:numId w:val="1"/>
        </w:numPr>
        <w:spacing w:after="0" w:line="259" w:lineRule="auto"/>
        <w:ind w:hanging="360"/>
      </w:pPr>
      <w:r>
        <w:t xml:space="preserve">Unit of the quantity (ml, L, kg </w:t>
      </w:r>
      <w:proofErr w:type="spellStart"/>
      <w:r>
        <w:t>etc</w:t>
      </w:r>
      <w:proofErr w:type="spellEnd"/>
      <w:r>
        <w:t xml:space="preserve">) </w:t>
      </w:r>
    </w:p>
    <w:p w:rsidR="00784B83" w:rsidRDefault="00250436">
      <w:pPr>
        <w:numPr>
          <w:ilvl w:val="0"/>
          <w:numId w:val="1"/>
        </w:numPr>
        <w:ind w:hanging="360"/>
      </w:pPr>
      <w:r>
        <w:t xml:space="preserve">Full Address of Importer (including location address) </w:t>
      </w:r>
    </w:p>
    <w:p w:rsidR="00784B83" w:rsidRDefault="00250436">
      <w:pPr>
        <w:numPr>
          <w:ilvl w:val="0"/>
          <w:numId w:val="1"/>
        </w:numPr>
        <w:ind w:hanging="360"/>
      </w:pPr>
      <w:r>
        <w:lastRenderedPageBreak/>
        <w:t>Phone #, Fax # and E-mail addresse</w:t>
      </w:r>
      <w:r>
        <w:t xml:space="preserve">s of both Importer and Exporter  </w:t>
      </w:r>
    </w:p>
    <w:p w:rsidR="00784B83" w:rsidRDefault="00250436">
      <w:pPr>
        <w:numPr>
          <w:ilvl w:val="0"/>
          <w:numId w:val="1"/>
        </w:numPr>
        <w:spacing w:after="0" w:line="259" w:lineRule="auto"/>
        <w:ind w:hanging="360"/>
      </w:pPr>
      <w:r>
        <w:t xml:space="preserve">Type of Permit: Frozen fish and meat </w:t>
      </w:r>
    </w:p>
    <w:p w:rsidR="00784B83" w:rsidRDefault="00250436">
      <w:pPr>
        <w:spacing w:after="0" w:line="259" w:lineRule="auto"/>
        <w:ind w:left="720" w:firstLine="0"/>
        <w:jc w:val="left"/>
      </w:pPr>
      <w:r>
        <w:rPr>
          <w:i/>
        </w:rPr>
        <w:t xml:space="preserve"> </w:t>
      </w:r>
    </w:p>
    <w:p w:rsidR="00784B83" w:rsidRDefault="00250436">
      <w:pPr>
        <w:spacing w:after="0" w:line="259" w:lineRule="auto"/>
        <w:ind w:left="714" w:firstLine="0"/>
        <w:jc w:val="center"/>
      </w:pPr>
      <w:r>
        <w:rPr>
          <w:b/>
          <w:i/>
        </w:rPr>
        <w:t xml:space="preserve">Response/Feedback </w:t>
      </w:r>
    </w:p>
    <w:p w:rsidR="00784B83" w:rsidRDefault="00250436">
      <w:pPr>
        <w:spacing w:after="0" w:line="240" w:lineRule="auto"/>
        <w:ind w:left="635" w:firstLine="0"/>
        <w:jc w:val="center"/>
      </w:pPr>
      <w:r>
        <w:rPr>
          <w:i/>
        </w:rPr>
        <w:t>The applicant is expected to monitor the status of the application on-</w:t>
      </w:r>
      <w:r>
        <w:rPr>
          <w:i/>
        </w:rPr>
        <w:t xml:space="preserve">line; they are to go beyond the track status to approval history by opening the document. </w:t>
      </w:r>
    </w:p>
    <w:p w:rsidR="00784B83" w:rsidRDefault="00250436">
      <w:pPr>
        <w:ind w:left="2505" w:hanging="720"/>
      </w:pPr>
      <w:r>
        <w:t>3.1.7. Only approved electronic permits (</w:t>
      </w:r>
      <w:proofErr w:type="spellStart"/>
      <w:r>
        <w:t>eMDA</w:t>
      </w:r>
      <w:proofErr w:type="spellEnd"/>
      <w:r>
        <w:t xml:space="preserve">) shall be used for clearance of frozen meat, fish, shellfish and other aquatic invertebrates at the port of entry. </w:t>
      </w:r>
    </w:p>
    <w:p w:rsidR="00784B83" w:rsidRDefault="00250436">
      <w:pPr>
        <w:spacing w:after="0" w:line="259" w:lineRule="auto"/>
        <w:ind w:left="360" w:firstLine="0"/>
        <w:jc w:val="left"/>
      </w:pPr>
      <w:r>
        <w:rPr>
          <w:b/>
        </w:rPr>
        <w:t xml:space="preserve"> </w:t>
      </w:r>
    </w:p>
    <w:p w:rsidR="00784B83" w:rsidRDefault="00250436">
      <w:pPr>
        <w:spacing w:after="0" w:line="259" w:lineRule="auto"/>
        <w:ind w:left="360" w:firstLine="0"/>
        <w:jc w:val="left"/>
      </w:pPr>
      <w:r>
        <w:t xml:space="preserve"> </w:t>
      </w:r>
    </w:p>
    <w:p w:rsidR="00784B83" w:rsidRDefault="00250436">
      <w:pPr>
        <w:ind w:left="2505" w:hanging="720"/>
      </w:pPr>
      <w:r>
        <w:t xml:space="preserve">3.1.8. Permits issued for importation of a particular consignment of frozen meat, fish, shellfish and other aquatic invertebrates shall be presented to Customs only once. </w:t>
      </w:r>
    </w:p>
    <w:p w:rsidR="00784B83" w:rsidRDefault="00250436">
      <w:pPr>
        <w:spacing w:after="0" w:line="259" w:lineRule="auto"/>
        <w:ind w:left="360" w:firstLine="0"/>
        <w:jc w:val="left"/>
      </w:pPr>
      <w:r>
        <w:t xml:space="preserve"> </w:t>
      </w:r>
    </w:p>
    <w:p w:rsidR="00784B83" w:rsidRDefault="00250436">
      <w:pPr>
        <w:ind w:left="2505" w:hanging="720"/>
      </w:pPr>
      <w:r>
        <w:t>3.1.9. In the event that goods short-land, a new permit must be processed for imp</w:t>
      </w:r>
      <w:r>
        <w:t xml:space="preserve">ortation/clearance of the short-landed goods. </w:t>
      </w:r>
    </w:p>
    <w:p w:rsidR="00784B83" w:rsidRDefault="00250436">
      <w:pPr>
        <w:spacing w:after="0" w:line="259" w:lineRule="auto"/>
        <w:ind w:left="360" w:firstLine="0"/>
        <w:jc w:val="left"/>
      </w:pPr>
      <w:r>
        <w:t xml:space="preserve"> </w:t>
      </w:r>
    </w:p>
    <w:p w:rsidR="00784B83" w:rsidRDefault="00250436">
      <w:pPr>
        <w:ind w:left="2505" w:hanging="720"/>
      </w:pPr>
      <w:r>
        <w:t xml:space="preserve">3.1.10. All consignments of frozen meat, fish, shellfish and other aquatic invertebrates shall be physically inspected, at the port of entry, including all post entry applications;   </w:t>
      </w:r>
    </w:p>
    <w:p w:rsidR="00784B83" w:rsidRDefault="00250436">
      <w:pPr>
        <w:spacing w:after="0" w:line="259" w:lineRule="auto"/>
        <w:ind w:left="1080" w:firstLine="0"/>
        <w:jc w:val="left"/>
      </w:pPr>
      <w:r>
        <w:t xml:space="preserve"> </w:t>
      </w:r>
    </w:p>
    <w:p w:rsidR="00784B83" w:rsidRDefault="00250436">
      <w:pPr>
        <w:numPr>
          <w:ilvl w:val="0"/>
          <w:numId w:val="2"/>
        </w:numPr>
        <w:ind w:hanging="360"/>
      </w:pPr>
      <w:r>
        <w:t>Consignments in compl</w:t>
      </w:r>
      <w:r>
        <w:t xml:space="preserve">iance with the Law shall be released to the importer; </w:t>
      </w:r>
    </w:p>
    <w:p w:rsidR="00784B83" w:rsidRDefault="00250436">
      <w:pPr>
        <w:spacing w:after="0" w:line="259" w:lineRule="auto"/>
        <w:ind w:left="2520" w:firstLine="0"/>
        <w:jc w:val="left"/>
      </w:pPr>
      <w:r>
        <w:t xml:space="preserve"> </w:t>
      </w:r>
    </w:p>
    <w:p w:rsidR="00784B83" w:rsidRDefault="00250436">
      <w:pPr>
        <w:numPr>
          <w:ilvl w:val="0"/>
          <w:numId w:val="2"/>
        </w:numPr>
        <w:ind w:hanging="360"/>
      </w:pPr>
      <w:r>
        <w:t xml:space="preserve">Non-conforming consignments shall be detained under modalities determined by the FDA if they can be reasonably brought into conformance with the Law at the importer’s expense; or </w:t>
      </w:r>
    </w:p>
    <w:p w:rsidR="00784B83" w:rsidRDefault="00250436">
      <w:pPr>
        <w:spacing w:after="0" w:line="259" w:lineRule="auto"/>
        <w:ind w:left="2520" w:firstLine="0"/>
        <w:jc w:val="left"/>
      </w:pPr>
      <w:r>
        <w:t xml:space="preserve"> </w:t>
      </w:r>
    </w:p>
    <w:p w:rsidR="00784B83" w:rsidRDefault="00250436">
      <w:pPr>
        <w:numPr>
          <w:ilvl w:val="0"/>
          <w:numId w:val="2"/>
        </w:numPr>
        <w:ind w:hanging="360"/>
      </w:pPr>
      <w:r>
        <w:t>Consignments that</w:t>
      </w:r>
      <w:r>
        <w:t xml:space="preserve"> are rejected shall either be re-exported or destroyed under the FDA’s supervision, at the expense of the importer.  </w:t>
      </w:r>
    </w:p>
    <w:p w:rsidR="00784B83" w:rsidRDefault="00250436">
      <w:pPr>
        <w:spacing w:after="98" w:line="259" w:lineRule="auto"/>
        <w:ind w:left="1080" w:firstLine="0"/>
        <w:jc w:val="left"/>
      </w:pPr>
      <w:r>
        <w:t xml:space="preserve"> </w:t>
      </w:r>
    </w:p>
    <w:p w:rsidR="00784B83" w:rsidRDefault="00250436">
      <w:pPr>
        <w:numPr>
          <w:ilvl w:val="0"/>
          <w:numId w:val="2"/>
        </w:numPr>
        <w:ind w:hanging="360"/>
      </w:pPr>
      <w:r>
        <w:t xml:space="preserve">Inspection of the consignment at the port of entry shall </w:t>
      </w:r>
      <w:r>
        <w:t xml:space="preserve">attract inspection fee as per the FDA approved fee schedule (LI 2206 A.I. 2013). </w:t>
      </w:r>
    </w:p>
    <w:p w:rsidR="00784B83" w:rsidRDefault="00250436">
      <w:pPr>
        <w:spacing w:after="0" w:line="259" w:lineRule="auto"/>
        <w:ind w:left="360" w:firstLine="0"/>
        <w:jc w:val="left"/>
      </w:pPr>
      <w:r>
        <w:t xml:space="preserve"> </w:t>
      </w:r>
    </w:p>
    <w:p w:rsidR="00784B83" w:rsidRDefault="00250436">
      <w:pPr>
        <w:ind w:left="2505" w:hanging="720"/>
      </w:pPr>
      <w:r>
        <w:t xml:space="preserve">3.1.11. Physical inspection of consignments of frozen meat, fish, shellfish and other aquatic invertebrates may be carried out at the importer’s </w:t>
      </w:r>
      <w:r>
        <w:lastRenderedPageBreak/>
        <w:t xml:space="preserve">premises if recommended by </w:t>
      </w:r>
      <w:r>
        <w:t xml:space="preserve">Customs or FDA or on request by the importer; </w:t>
      </w:r>
    </w:p>
    <w:p w:rsidR="00784B83" w:rsidRDefault="00250436">
      <w:pPr>
        <w:spacing w:after="0" w:line="259" w:lineRule="auto"/>
        <w:ind w:left="360" w:firstLine="0"/>
        <w:jc w:val="left"/>
      </w:pPr>
      <w:r>
        <w:t xml:space="preserve"> </w:t>
      </w:r>
    </w:p>
    <w:p w:rsidR="00784B83" w:rsidRDefault="00250436">
      <w:pPr>
        <w:ind w:left="3601" w:hanging="1081"/>
      </w:pPr>
      <w:r>
        <w:t xml:space="preserve">3.1.11.1. Inspection of the consignment at the importer’s premises shall attract premises inspection fee as per the FDA approved fee schedule in addition to 5.1.11 (d).  </w:t>
      </w:r>
    </w:p>
    <w:p w:rsidR="00784B83" w:rsidRDefault="00250436">
      <w:pPr>
        <w:spacing w:after="0" w:line="259" w:lineRule="auto"/>
        <w:ind w:left="720" w:firstLine="0"/>
        <w:jc w:val="left"/>
      </w:pPr>
      <w:r>
        <w:t xml:space="preserve"> </w:t>
      </w:r>
    </w:p>
    <w:p w:rsidR="00784B83" w:rsidRDefault="00250436">
      <w:pPr>
        <w:spacing w:after="0" w:line="259" w:lineRule="auto"/>
        <w:ind w:left="360" w:firstLine="0"/>
        <w:jc w:val="left"/>
      </w:pPr>
      <w:r>
        <w:t xml:space="preserve"> </w:t>
      </w:r>
    </w:p>
    <w:p w:rsidR="00784B83" w:rsidRDefault="00250436">
      <w:pPr>
        <w:spacing w:after="0" w:line="259" w:lineRule="auto"/>
        <w:ind w:left="360" w:firstLine="0"/>
        <w:jc w:val="left"/>
      </w:pPr>
      <w:r>
        <w:t xml:space="preserve"> </w:t>
      </w:r>
    </w:p>
    <w:p w:rsidR="00784B83" w:rsidRDefault="00250436">
      <w:pPr>
        <w:spacing w:after="0" w:line="259" w:lineRule="auto"/>
        <w:ind w:left="360" w:firstLine="0"/>
        <w:jc w:val="left"/>
      </w:pPr>
      <w:r>
        <w:t xml:space="preserve"> </w:t>
      </w:r>
    </w:p>
    <w:p w:rsidR="00784B83" w:rsidRDefault="00250436">
      <w:pPr>
        <w:pStyle w:val="Heading1"/>
        <w:tabs>
          <w:tab w:val="center" w:pos="1282"/>
          <w:tab w:val="center" w:pos="3928"/>
        </w:tabs>
        <w:ind w:left="0" w:firstLine="0"/>
      </w:pPr>
      <w:bookmarkStart w:id="3" w:name="_Toc10339"/>
      <w:r>
        <w:rPr>
          <w:rFonts w:ascii="Calibri" w:eastAsia="Calibri" w:hAnsi="Calibri" w:cs="Calibri"/>
          <w:b w:val="0"/>
          <w:sz w:val="22"/>
        </w:rPr>
        <w:tab/>
      </w:r>
      <w:r>
        <w:t xml:space="preserve">3.2. </w:t>
      </w:r>
      <w:r>
        <w:tab/>
        <w:t>Applying for Import/C</w:t>
      </w:r>
      <w:r>
        <w:t xml:space="preserve">learance Permit </w:t>
      </w:r>
      <w:bookmarkEnd w:id="3"/>
    </w:p>
    <w:p w:rsidR="00784B83" w:rsidRDefault="00250436">
      <w:pPr>
        <w:spacing w:after="0" w:line="259" w:lineRule="auto"/>
        <w:ind w:left="1800" w:firstLine="0"/>
        <w:jc w:val="left"/>
      </w:pPr>
      <w:r>
        <w:rPr>
          <w:b/>
        </w:rPr>
        <w:t xml:space="preserve"> </w:t>
      </w:r>
    </w:p>
    <w:p w:rsidR="00784B83" w:rsidRDefault="00250436">
      <w:pPr>
        <w:ind w:left="2505" w:hanging="720"/>
      </w:pPr>
      <w:r>
        <w:t xml:space="preserve">3.2.1. All consignments of frozen meat, fish, shellfish and other aquatic invertebrates shall have supplier address including country of supply, batch code and net weight indicated on each packaging of the product.     </w:t>
      </w:r>
    </w:p>
    <w:p w:rsidR="00784B83" w:rsidRDefault="00250436">
      <w:pPr>
        <w:spacing w:after="0" w:line="259" w:lineRule="auto"/>
        <w:ind w:left="1080" w:firstLine="0"/>
        <w:jc w:val="left"/>
      </w:pPr>
      <w:r>
        <w:t xml:space="preserve"> </w:t>
      </w:r>
    </w:p>
    <w:p w:rsidR="00784B83" w:rsidRDefault="00250436">
      <w:pPr>
        <w:ind w:left="2505" w:hanging="720"/>
      </w:pPr>
      <w:r>
        <w:t xml:space="preserve">3.2.2. </w:t>
      </w:r>
      <w:r>
        <w:t>In addition, the shelf-life, storage temperature, handling instructions should be included in the label of all consignments of frozen meat, fish, shellfish and other aquatic invertebrates. The shelf-life should be at least 60% valid during the time of insp</w:t>
      </w:r>
      <w:r>
        <w:t xml:space="preserve">ection at the port of entry.  </w:t>
      </w:r>
    </w:p>
    <w:p w:rsidR="00784B83" w:rsidRDefault="00250436">
      <w:pPr>
        <w:spacing w:after="0" w:line="259" w:lineRule="auto"/>
        <w:ind w:left="1080" w:firstLine="0"/>
        <w:jc w:val="left"/>
      </w:pPr>
      <w:r>
        <w:t xml:space="preserve"> </w:t>
      </w:r>
    </w:p>
    <w:p w:rsidR="00784B83" w:rsidRDefault="00250436">
      <w:pPr>
        <w:ind w:left="2505" w:hanging="720"/>
      </w:pPr>
      <w:r>
        <w:t xml:space="preserve">3.2.3. A permit processing fee of </w:t>
      </w:r>
      <w:r>
        <w:rPr>
          <w:b/>
        </w:rPr>
        <w:t>GH¢ 30.00</w:t>
      </w:r>
      <w:r>
        <w:t xml:space="preserve"> instead of GH¢ 15.00</w:t>
      </w:r>
      <w:r>
        <w:rPr>
          <w:b/>
        </w:rPr>
        <w:t xml:space="preserve"> </w:t>
      </w:r>
      <w:r>
        <w:t xml:space="preserve">for registered products shall be payable at the FDA office at the port of entry at the time of clearance. </w:t>
      </w:r>
    </w:p>
    <w:p w:rsidR="00784B83" w:rsidRDefault="00250436">
      <w:pPr>
        <w:spacing w:after="0" w:line="259" w:lineRule="auto"/>
        <w:ind w:left="1080" w:firstLine="0"/>
        <w:jc w:val="left"/>
      </w:pPr>
      <w:r>
        <w:t xml:space="preserve"> </w:t>
      </w:r>
    </w:p>
    <w:p w:rsidR="00784B83" w:rsidRDefault="00250436">
      <w:pPr>
        <w:ind w:left="2505" w:hanging="720"/>
      </w:pPr>
      <w:r>
        <w:t>3.2.4. International Health Regulation requiremen</w:t>
      </w:r>
      <w:r>
        <w:t>ts demonstrated by a valid ship sanitation certificate issued by a competent authority and crew vaccination records must be available for verification during physical inspections of bulk cargoes of frozen meat, fish, shellfish and other aquatic invertebrat</w:t>
      </w:r>
      <w:r>
        <w:t xml:space="preserve">es. </w:t>
      </w:r>
    </w:p>
    <w:p w:rsidR="00784B83" w:rsidRDefault="00250436">
      <w:pPr>
        <w:spacing w:after="0" w:line="259" w:lineRule="auto"/>
        <w:ind w:left="1080" w:firstLine="0"/>
        <w:jc w:val="left"/>
      </w:pPr>
      <w:r>
        <w:t xml:space="preserve"> </w:t>
      </w:r>
    </w:p>
    <w:p w:rsidR="00784B83" w:rsidRDefault="00250436">
      <w:pPr>
        <w:ind w:left="2505" w:hanging="720"/>
      </w:pPr>
      <w:r>
        <w:t xml:space="preserve">3.2.5. Where appropriate, a valid health certificate issued by the relevant national authority of the exporting country must accompany all consignments of frozen meat, fish, shellfish and other aquatic invertebrates for verification during physical </w:t>
      </w:r>
      <w:r>
        <w:t>inspection of these product in order to ensure marine biotoxins or veterinary drug residues have been properly controlled and that products have been handled and processed in accordance with hygienic standards and proper process control for food safety haz</w:t>
      </w:r>
      <w:r>
        <w:t xml:space="preserve">ards. </w:t>
      </w:r>
    </w:p>
    <w:p w:rsidR="00784B83" w:rsidRDefault="00250436">
      <w:pPr>
        <w:spacing w:after="0" w:line="259" w:lineRule="auto"/>
        <w:ind w:left="1080" w:firstLine="0"/>
        <w:jc w:val="left"/>
      </w:pPr>
      <w:r>
        <w:t xml:space="preserve"> </w:t>
      </w:r>
    </w:p>
    <w:p w:rsidR="00784B83" w:rsidRDefault="00250436">
      <w:pPr>
        <w:ind w:left="2505" w:hanging="720"/>
      </w:pPr>
      <w:r>
        <w:lastRenderedPageBreak/>
        <w:t xml:space="preserve">3.2.6. Instances of claims pertaining to animals slaughtered and processed in agreement with Islamic rites must be substantiated with a valid </w:t>
      </w:r>
      <w:proofErr w:type="spellStart"/>
      <w:r>
        <w:t>Halaal</w:t>
      </w:r>
      <w:proofErr w:type="spellEnd"/>
      <w:r>
        <w:t xml:space="preserve"> Certificate issued by a competent national authority, during physical inspection of frozen meat, f</w:t>
      </w:r>
      <w:r>
        <w:t xml:space="preserve">ish, shellfish and other aquatic invertebrates.    </w:t>
      </w:r>
    </w:p>
    <w:p w:rsidR="00784B83" w:rsidRDefault="00250436">
      <w:pPr>
        <w:spacing w:after="0" w:line="259" w:lineRule="auto"/>
        <w:ind w:left="1080" w:firstLine="0"/>
        <w:jc w:val="left"/>
      </w:pPr>
      <w:r>
        <w:t xml:space="preserve"> </w:t>
      </w:r>
    </w:p>
    <w:p w:rsidR="00784B83" w:rsidRDefault="00250436">
      <w:pPr>
        <w:ind w:left="2505" w:hanging="720"/>
      </w:pPr>
      <w:r>
        <w:t xml:space="preserve">3.2.7. Throughout the voyage of frozen meat, fish, shellfish and other aquatic invertebrates, temperature should be maintained at -18 °C ± 3 °C or below.   </w:t>
      </w:r>
    </w:p>
    <w:p w:rsidR="00784B83" w:rsidRDefault="00250436">
      <w:pPr>
        <w:spacing w:after="0" w:line="259" w:lineRule="auto"/>
        <w:ind w:left="1080" w:firstLine="0"/>
        <w:jc w:val="left"/>
      </w:pPr>
      <w:r>
        <w:t xml:space="preserve"> </w:t>
      </w:r>
    </w:p>
    <w:p w:rsidR="00784B83" w:rsidRDefault="00250436">
      <w:pPr>
        <w:ind w:left="2505" w:hanging="720"/>
      </w:pPr>
      <w:r>
        <w:t xml:space="preserve">3.2.8. For independent temperature records </w:t>
      </w:r>
      <w:r>
        <w:t xml:space="preserve">throughout the voyage, a </w:t>
      </w:r>
      <w:proofErr w:type="spellStart"/>
      <w:r>
        <w:t>selfcontained</w:t>
      </w:r>
      <w:proofErr w:type="spellEnd"/>
      <w:r>
        <w:t xml:space="preserve"> single-point temperature recorder must be available in containerized cargoes for check during physical inspection. Preferably, it should be fitted at the second package down at the door end near the center of the stow</w:t>
      </w:r>
      <w:r>
        <w:t xml:space="preserve">.   </w:t>
      </w:r>
    </w:p>
    <w:p w:rsidR="00784B83" w:rsidRDefault="00250436">
      <w:pPr>
        <w:spacing w:after="0" w:line="259" w:lineRule="auto"/>
        <w:ind w:left="1080" w:firstLine="0"/>
        <w:jc w:val="left"/>
      </w:pPr>
      <w:r>
        <w:t xml:space="preserve"> </w:t>
      </w:r>
    </w:p>
    <w:p w:rsidR="00784B83" w:rsidRDefault="00250436">
      <w:pPr>
        <w:ind w:left="2505" w:hanging="720"/>
      </w:pPr>
      <w:r>
        <w:t xml:space="preserve">3.2.9. Temperature records must be made available during physical inspection for verification of sustained adequate temperature throughout the voyage of bulk consignments of frozen meat, fish, shellfish and other aquatic invertebrates. </w:t>
      </w:r>
    </w:p>
    <w:p w:rsidR="00784B83" w:rsidRDefault="00250436">
      <w:pPr>
        <w:spacing w:after="0" w:line="259" w:lineRule="auto"/>
        <w:ind w:left="1080" w:firstLine="0"/>
        <w:jc w:val="left"/>
      </w:pPr>
      <w:r>
        <w:t xml:space="preserve"> </w:t>
      </w:r>
    </w:p>
    <w:p w:rsidR="00784B83" w:rsidRDefault="00250436">
      <w:pPr>
        <w:ind w:left="2505" w:hanging="720"/>
      </w:pPr>
      <w:r>
        <w:t>3.2.10. Th</w:t>
      </w:r>
      <w:r>
        <w:t>e authority in the execution of its legal mandate as entrenched in Part 7, section 135 of the Public Health Act 2012, Act 851, may detain and subject consignments of frozen meat, fish, shellfish and other aquatic invertebrates to laboratory testing for mon</w:t>
      </w:r>
      <w:r>
        <w:t xml:space="preserve">itoring and surveillance of foodborne and zoonotic diseases. The importer is therefore expected to wait and cooperate with FDA to be satisfied with the laboratory results before clearance of consignment and distribution for sale and/consumption. </w:t>
      </w:r>
    </w:p>
    <w:p w:rsidR="00784B83" w:rsidRDefault="00250436">
      <w:pPr>
        <w:spacing w:after="0" w:line="259" w:lineRule="auto"/>
        <w:ind w:left="1080" w:firstLine="0"/>
        <w:jc w:val="left"/>
      </w:pPr>
      <w:r>
        <w:t xml:space="preserve"> </w:t>
      </w:r>
    </w:p>
    <w:p w:rsidR="00784B83" w:rsidRDefault="00250436">
      <w:pPr>
        <w:ind w:left="3601" w:hanging="1081"/>
      </w:pPr>
      <w:r>
        <w:t>3.2.10.</w:t>
      </w:r>
      <w:r>
        <w:t xml:space="preserve">1. On account where a test is positive (e.g. </w:t>
      </w:r>
      <w:r>
        <w:rPr>
          <w:i/>
        </w:rPr>
        <w:t>Listeria</w:t>
      </w:r>
      <w:r>
        <w:t xml:space="preserve"> </w:t>
      </w:r>
      <w:r>
        <w:rPr>
          <w:i/>
        </w:rPr>
        <w:t>monocytogenes</w:t>
      </w:r>
      <w:r>
        <w:t xml:space="preserve"> tested positive) by mini lab analysis and confirmed by the Laboratory Services Department of FDA, the whole consignment shall be disposed of at the cost of the importer following FDA appro</w:t>
      </w:r>
      <w:r>
        <w:t xml:space="preserve">ved fee schedule ((LI 2206 A.I. 2013). </w:t>
      </w:r>
    </w:p>
    <w:p w:rsidR="00784B83" w:rsidRDefault="00250436">
      <w:pPr>
        <w:spacing w:after="0" w:line="259" w:lineRule="auto"/>
        <w:ind w:left="360" w:firstLine="0"/>
        <w:jc w:val="left"/>
      </w:pPr>
      <w:r>
        <w:t xml:space="preserve"> </w:t>
      </w:r>
    </w:p>
    <w:p w:rsidR="00784B83" w:rsidRDefault="00250436">
      <w:pPr>
        <w:spacing w:after="0" w:line="259" w:lineRule="auto"/>
        <w:ind w:left="360" w:firstLine="0"/>
        <w:jc w:val="left"/>
      </w:pPr>
      <w:r>
        <w:t xml:space="preserve"> </w:t>
      </w:r>
    </w:p>
    <w:p w:rsidR="00784B83" w:rsidRDefault="00250436">
      <w:pPr>
        <w:pStyle w:val="Heading1"/>
        <w:tabs>
          <w:tab w:val="center" w:pos="2428"/>
        </w:tabs>
        <w:ind w:left="-15" w:firstLine="0"/>
      </w:pPr>
      <w:bookmarkStart w:id="4" w:name="_Toc10340"/>
      <w:r>
        <w:t xml:space="preserve">4.0. </w:t>
      </w:r>
      <w:r>
        <w:tab/>
        <w:t>SANCTIONS AND PENALTIES</w:t>
      </w:r>
      <w:r>
        <w:rPr>
          <w:b w:val="0"/>
        </w:rPr>
        <w:t xml:space="preserve"> </w:t>
      </w:r>
      <w:bookmarkEnd w:id="4"/>
    </w:p>
    <w:p w:rsidR="00784B83" w:rsidRDefault="00250436">
      <w:pPr>
        <w:spacing w:after="0" w:line="259" w:lineRule="auto"/>
        <w:ind w:left="360" w:firstLine="0"/>
        <w:jc w:val="left"/>
      </w:pPr>
      <w:r>
        <w:t xml:space="preserve"> </w:t>
      </w:r>
    </w:p>
    <w:p w:rsidR="00784B83" w:rsidRDefault="00250436">
      <w:pPr>
        <w:spacing w:after="0" w:line="280" w:lineRule="auto"/>
        <w:ind w:left="1800" w:hanging="720"/>
        <w:jc w:val="left"/>
      </w:pPr>
      <w:r>
        <w:lastRenderedPageBreak/>
        <w:t xml:space="preserve">4.1. </w:t>
      </w:r>
      <w:r>
        <w:tab/>
      </w:r>
      <w:r>
        <w:t xml:space="preserve">The Food and Drugs Authority may impose a fine for the breach of these guidelines in accordance with Section 110 of the Public Health Act, Act 851 of 2012. </w:t>
      </w:r>
    </w:p>
    <w:p w:rsidR="00784B83" w:rsidRDefault="00250436">
      <w:pPr>
        <w:spacing w:after="19" w:line="259" w:lineRule="auto"/>
        <w:ind w:left="1800" w:firstLine="0"/>
        <w:jc w:val="left"/>
      </w:pPr>
      <w:r>
        <w:t xml:space="preserve"> </w:t>
      </w:r>
    </w:p>
    <w:p w:rsidR="00784B83" w:rsidRDefault="00250436">
      <w:pPr>
        <w:ind w:left="1800" w:hanging="720"/>
      </w:pPr>
      <w:r>
        <w:t xml:space="preserve">4.2. Where a consignment arrives and the product(s) is not duly registered by the Authority, the </w:t>
      </w:r>
      <w:r>
        <w:t xml:space="preserve">following sanctions may apply: </w:t>
      </w:r>
    </w:p>
    <w:p w:rsidR="00784B83" w:rsidRDefault="00250436">
      <w:pPr>
        <w:spacing w:after="0" w:line="259" w:lineRule="auto"/>
        <w:ind w:left="1800" w:firstLine="0"/>
        <w:jc w:val="left"/>
      </w:pPr>
      <w:r>
        <w:t xml:space="preserve"> </w:t>
      </w:r>
    </w:p>
    <w:p w:rsidR="00784B83" w:rsidRDefault="00250436">
      <w:pPr>
        <w:spacing w:after="29"/>
        <w:ind w:left="2505" w:hanging="720"/>
      </w:pPr>
      <w:r>
        <w:t xml:space="preserve">4.2.1. </w:t>
      </w:r>
      <w:r>
        <w:rPr>
          <w:b/>
        </w:rPr>
        <w:t>“Clearing under detention”</w:t>
      </w:r>
      <w:r>
        <w:t xml:space="preserve"> followed by registration of the product immediately the consignment leaves the port. </w:t>
      </w:r>
    </w:p>
    <w:p w:rsidR="00784B83" w:rsidRDefault="00250436">
      <w:pPr>
        <w:spacing w:after="29"/>
        <w:ind w:left="1795"/>
      </w:pPr>
      <w:r>
        <w:t xml:space="preserve">4.2.2. Seizure and Disposal of the product. </w:t>
      </w:r>
    </w:p>
    <w:p w:rsidR="00784B83" w:rsidRDefault="00250436">
      <w:pPr>
        <w:spacing w:after="29"/>
        <w:ind w:left="1795"/>
      </w:pPr>
      <w:r>
        <w:t xml:space="preserve">4.2.3. Order the re-export of the product at the cost of </w:t>
      </w:r>
      <w:r>
        <w:t xml:space="preserve">the importer </w:t>
      </w:r>
    </w:p>
    <w:p w:rsidR="00784B83" w:rsidRDefault="00250436">
      <w:pPr>
        <w:spacing w:after="31"/>
        <w:ind w:left="1795"/>
      </w:pPr>
      <w:r>
        <w:t xml:space="preserve">4.2.4. Administrative fines  </w:t>
      </w:r>
    </w:p>
    <w:p w:rsidR="00784B83" w:rsidRDefault="00250436">
      <w:pPr>
        <w:ind w:left="2505" w:hanging="720"/>
      </w:pPr>
      <w:r>
        <w:t xml:space="preserve">4.2.5. Prosecution of the importer in accordance to the provisions of the Public Health Act. </w:t>
      </w:r>
    </w:p>
    <w:p w:rsidR="00784B83" w:rsidRDefault="00250436">
      <w:pPr>
        <w:spacing w:after="0" w:line="259" w:lineRule="auto"/>
        <w:ind w:left="2520" w:firstLine="0"/>
        <w:jc w:val="left"/>
      </w:pPr>
      <w:r>
        <w:t xml:space="preserve"> </w:t>
      </w:r>
    </w:p>
    <w:p w:rsidR="00784B83" w:rsidRDefault="00250436">
      <w:pPr>
        <w:spacing w:after="0" w:line="240" w:lineRule="auto"/>
        <w:ind w:left="360" w:firstLine="0"/>
        <w:jc w:val="left"/>
      </w:pPr>
      <w:r>
        <w:rPr>
          <w:b/>
          <w:i/>
        </w:rPr>
        <w:t xml:space="preserve">NB: Notice of Detentions “Conditional Release of consignment” shall be issued to all non-compliant products </w:t>
      </w:r>
    </w:p>
    <w:p w:rsidR="00784B83" w:rsidRDefault="00250436">
      <w:pPr>
        <w:spacing w:after="0" w:line="259" w:lineRule="auto"/>
        <w:ind w:left="2520" w:firstLine="0"/>
        <w:jc w:val="left"/>
      </w:pPr>
      <w:r>
        <w:t xml:space="preserve"> </w:t>
      </w:r>
    </w:p>
    <w:p w:rsidR="00784B83" w:rsidRDefault="00250436">
      <w:pPr>
        <w:ind w:left="1800" w:hanging="720"/>
      </w:pPr>
      <w:r>
        <w:t xml:space="preserve">4.3. </w:t>
      </w:r>
      <w:r>
        <w:t xml:space="preserve">A person who removes, alters or interferes with a detained consignment without the authority of an </w:t>
      </w:r>
      <w:proofErr w:type="spellStart"/>
      <w:r>
        <w:t>authorised</w:t>
      </w:r>
      <w:proofErr w:type="spellEnd"/>
      <w:r>
        <w:t xml:space="preserve"> officer commits an offence in accordance with part 7, section 136 (2) of the Public Health Act, Act 851 of 2012. </w:t>
      </w:r>
    </w:p>
    <w:p w:rsidR="00784B83" w:rsidRDefault="00250436">
      <w:pPr>
        <w:spacing w:after="218" w:line="259" w:lineRule="auto"/>
        <w:ind w:left="1800" w:firstLine="0"/>
        <w:jc w:val="left"/>
      </w:pPr>
      <w:r>
        <w:t xml:space="preserve"> </w:t>
      </w:r>
    </w:p>
    <w:p w:rsidR="00784B83" w:rsidRDefault="00250436">
      <w:pPr>
        <w:spacing w:after="0" w:line="259" w:lineRule="auto"/>
        <w:ind w:left="360" w:firstLine="0"/>
        <w:jc w:val="left"/>
      </w:pPr>
      <w:r>
        <w:t xml:space="preserve"> </w:t>
      </w:r>
    </w:p>
    <w:p w:rsidR="00784B83" w:rsidRDefault="00250436">
      <w:pPr>
        <w:pStyle w:val="Heading1"/>
        <w:tabs>
          <w:tab w:val="center" w:pos="562"/>
          <w:tab w:val="center" w:pos="1694"/>
        </w:tabs>
        <w:ind w:left="0" w:firstLine="0"/>
      </w:pPr>
      <w:bookmarkStart w:id="5" w:name="_Toc10341"/>
      <w:r>
        <w:rPr>
          <w:rFonts w:ascii="Calibri" w:eastAsia="Calibri" w:hAnsi="Calibri" w:cs="Calibri"/>
          <w:b w:val="0"/>
          <w:sz w:val="22"/>
        </w:rPr>
        <w:tab/>
      </w:r>
      <w:r>
        <w:t xml:space="preserve">5.0. </w:t>
      </w:r>
      <w:r>
        <w:tab/>
        <w:t xml:space="preserve">APPENDIX </w:t>
      </w:r>
      <w:bookmarkEnd w:id="5"/>
    </w:p>
    <w:p w:rsidR="00784B83" w:rsidRDefault="00250436">
      <w:pPr>
        <w:spacing w:after="0" w:line="259" w:lineRule="auto"/>
        <w:ind w:left="1080" w:firstLine="0"/>
        <w:jc w:val="left"/>
      </w:pPr>
      <w:r>
        <w:t xml:space="preserve"> </w:t>
      </w:r>
    </w:p>
    <w:p w:rsidR="00784B83" w:rsidRDefault="00250436">
      <w:pPr>
        <w:pStyle w:val="Heading2"/>
        <w:ind w:left="1090"/>
      </w:pPr>
      <w:r>
        <w:t>Change Hi</w:t>
      </w:r>
      <w:r>
        <w:t xml:space="preserve">story </w:t>
      </w:r>
    </w:p>
    <w:p w:rsidR="00784B83" w:rsidRDefault="00250436">
      <w:pPr>
        <w:spacing w:after="0" w:line="259" w:lineRule="auto"/>
        <w:ind w:left="360" w:firstLine="0"/>
        <w:jc w:val="left"/>
      </w:pPr>
      <w:r>
        <w:t xml:space="preserve"> </w:t>
      </w:r>
    </w:p>
    <w:tbl>
      <w:tblPr>
        <w:tblStyle w:val="TableGrid"/>
        <w:tblW w:w="9496" w:type="dxa"/>
        <w:tblInd w:w="293" w:type="dxa"/>
        <w:tblCellMar>
          <w:top w:w="13" w:type="dxa"/>
          <w:left w:w="108" w:type="dxa"/>
          <w:bottom w:w="0" w:type="dxa"/>
          <w:right w:w="41" w:type="dxa"/>
        </w:tblCellMar>
        <w:tblLook w:val="04A0" w:firstRow="1" w:lastRow="0" w:firstColumn="1" w:lastColumn="0" w:noHBand="0" w:noVBand="1"/>
      </w:tblPr>
      <w:tblGrid>
        <w:gridCol w:w="617"/>
        <w:gridCol w:w="1838"/>
        <w:gridCol w:w="1280"/>
        <w:gridCol w:w="5761"/>
      </w:tblGrid>
      <w:tr w:rsidR="00784B83">
        <w:trPr>
          <w:trHeight w:val="286"/>
        </w:trPr>
        <w:tc>
          <w:tcPr>
            <w:tcW w:w="617" w:type="dxa"/>
            <w:tcBorders>
              <w:top w:val="single" w:sz="4" w:space="0" w:color="000000"/>
              <w:left w:val="single" w:sz="4" w:space="0" w:color="000000"/>
              <w:bottom w:val="single" w:sz="4" w:space="0" w:color="000000"/>
              <w:right w:val="single" w:sz="4" w:space="0" w:color="000000"/>
            </w:tcBorders>
          </w:tcPr>
          <w:p w:rsidR="00784B83" w:rsidRDefault="00250436">
            <w:pPr>
              <w:spacing w:after="0" w:line="259" w:lineRule="auto"/>
              <w:ind w:left="0" w:firstLine="0"/>
            </w:pPr>
            <w:r>
              <w:rPr>
                <w:b/>
              </w:rPr>
              <w:t xml:space="preserve">SN. </w:t>
            </w:r>
          </w:p>
        </w:tc>
        <w:tc>
          <w:tcPr>
            <w:tcW w:w="1838" w:type="dxa"/>
            <w:tcBorders>
              <w:top w:val="single" w:sz="4" w:space="0" w:color="000000"/>
              <w:left w:val="single" w:sz="4" w:space="0" w:color="000000"/>
              <w:bottom w:val="single" w:sz="4" w:space="0" w:color="000000"/>
              <w:right w:val="single" w:sz="4" w:space="0" w:color="000000"/>
            </w:tcBorders>
          </w:tcPr>
          <w:p w:rsidR="00784B83" w:rsidRDefault="00250436">
            <w:pPr>
              <w:spacing w:after="0" w:line="259" w:lineRule="auto"/>
              <w:ind w:left="0" w:firstLine="0"/>
              <w:jc w:val="left"/>
            </w:pPr>
            <w:r>
              <w:rPr>
                <w:b/>
              </w:rPr>
              <w:t xml:space="preserve">Date </w:t>
            </w:r>
          </w:p>
        </w:tc>
        <w:tc>
          <w:tcPr>
            <w:tcW w:w="1280" w:type="dxa"/>
            <w:tcBorders>
              <w:top w:val="single" w:sz="4" w:space="0" w:color="000000"/>
              <w:left w:val="single" w:sz="4" w:space="0" w:color="000000"/>
              <w:bottom w:val="single" w:sz="4" w:space="0" w:color="000000"/>
              <w:right w:val="single" w:sz="4" w:space="0" w:color="000000"/>
            </w:tcBorders>
          </w:tcPr>
          <w:p w:rsidR="00784B83" w:rsidRDefault="00250436">
            <w:pPr>
              <w:spacing w:after="0" w:line="259" w:lineRule="auto"/>
              <w:ind w:left="3" w:firstLine="0"/>
              <w:jc w:val="left"/>
            </w:pPr>
            <w:r>
              <w:rPr>
                <w:b/>
              </w:rPr>
              <w:t xml:space="preserve">Ver No. </w:t>
            </w:r>
          </w:p>
        </w:tc>
        <w:tc>
          <w:tcPr>
            <w:tcW w:w="5761" w:type="dxa"/>
            <w:tcBorders>
              <w:top w:val="single" w:sz="4" w:space="0" w:color="000000"/>
              <w:left w:val="single" w:sz="4" w:space="0" w:color="000000"/>
              <w:bottom w:val="single" w:sz="4" w:space="0" w:color="000000"/>
              <w:right w:val="single" w:sz="4" w:space="0" w:color="000000"/>
            </w:tcBorders>
          </w:tcPr>
          <w:p w:rsidR="00784B83" w:rsidRDefault="00250436">
            <w:pPr>
              <w:spacing w:after="0" w:line="259" w:lineRule="auto"/>
              <w:ind w:left="0" w:firstLine="0"/>
              <w:jc w:val="left"/>
            </w:pPr>
            <w:r>
              <w:rPr>
                <w:b/>
              </w:rPr>
              <w:t xml:space="preserve">Description of Change (section) </w:t>
            </w:r>
          </w:p>
        </w:tc>
      </w:tr>
      <w:tr w:rsidR="00784B83">
        <w:trPr>
          <w:trHeight w:val="288"/>
        </w:trPr>
        <w:tc>
          <w:tcPr>
            <w:tcW w:w="617" w:type="dxa"/>
            <w:tcBorders>
              <w:top w:val="single" w:sz="4" w:space="0" w:color="000000"/>
              <w:left w:val="single" w:sz="4" w:space="0" w:color="000000"/>
              <w:bottom w:val="single" w:sz="4" w:space="0" w:color="000000"/>
              <w:right w:val="single" w:sz="4" w:space="0" w:color="000000"/>
            </w:tcBorders>
          </w:tcPr>
          <w:p w:rsidR="00784B83" w:rsidRDefault="00250436">
            <w:pPr>
              <w:spacing w:after="0" w:line="259" w:lineRule="auto"/>
              <w:ind w:left="0" w:firstLine="0"/>
              <w:jc w:val="left"/>
            </w:pPr>
            <w:r>
              <w:t xml:space="preserve">1. </w:t>
            </w:r>
          </w:p>
        </w:tc>
        <w:tc>
          <w:tcPr>
            <w:tcW w:w="1838" w:type="dxa"/>
            <w:tcBorders>
              <w:top w:val="single" w:sz="4" w:space="0" w:color="000000"/>
              <w:left w:val="single" w:sz="4" w:space="0" w:color="000000"/>
              <w:bottom w:val="single" w:sz="4" w:space="0" w:color="000000"/>
              <w:right w:val="single" w:sz="4" w:space="0" w:color="000000"/>
            </w:tcBorders>
          </w:tcPr>
          <w:p w:rsidR="00784B83" w:rsidRDefault="00250436">
            <w:pPr>
              <w:spacing w:after="0" w:line="259" w:lineRule="auto"/>
              <w:ind w:left="0" w:firstLine="0"/>
              <w:jc w:val="left"/>
            </w:pPr>
            <w:r>
              <w:t xml:space="preserve">02/01/2019 </w:t>
            </w:r>
          </w:p>
        </w:tc>
        <w:tc>
          <w:tcPr>
            <w:tcW w:w="1280" w:type="dxa"/>
            <w:tcBorders>
              <w:top w:val="single" w:sz="4" w:space="0" w:color="000000"/>
              <w:left w:val="single" w:sz="4" w:space="0" w:color="000000"/>
              <w:bottom w:val="single" w:sz="4" w:space="0" w:color="000000"/>
              <w:right w:val="single" w:sz="4" w:space="0" w:color="000000"/>
            </w:tcBorders>
          </w:tcPr>
          <w:p w:rsidR="00784B83" w:rsidRDefault="00250436">
            <w:pPr>
              <w:spacing w:after="0" w:line="259" w:lineRule="auto"/>
              <w:ind w:left="3" w:firstLine="0"/>
              <w:jc w:val="left"/>
            </w:pPr>
            <w:r>
              <w:t xml:space="preserve">01 </w:t>
            </w:r>
          </w:p>
        </w:tc>
        <w:tc>
          <w:tcPr>
            <w:tcW w:w="5761" w:type="dxa"/>
            <w:tcBorders>
              <w:top w:val="single" w:sz="4" w:space="0" w:color="000000"/>
              <w:left w:val="single" w:sz="4" w:space="0" w:color="000000"/>
              <w:bottom w:val="single" w:sz="4" w:space="0" w:color="000000"/>
              <w:right w:val="single" w:sz="4" w:space="0" w:color="000000"/>
            </w:tcBorders>
          </w:tcPr>
          <w:p w:rsidR="00784B83" w:rsidRDefault="00250436">
            <w:pPr>
              <w:spacing w:after="0" w:line="259" w:lineRule="auto"/>
              <w:ind w:left="0" w:firstLine="0"/>
              <w:jc w:val="left"/>
            </w:pPr>
            <w:r>
              <w:t xml:space="preserve">Initial issue </w:t>
            </w:r>
          </w:p>
        </w:tc>
      </w:tr>
      <w:tr w:rsidR="00784B83">
        <w:trPr>
          <w:trHeight w:val="562"/>
        </w:trPr>
        <w:tc>
          <w:tcPr>
            <w:tcW w:w="617" w:type="dxa"/>
            <w:tcBorders>
              <w:top w:val="single" w:sz="4" w:space="0" w:color="000000"/>
              <w:left w:val="single" w:sz="4" w:space="0" w:color="000000"/>
              <w:bottom w:val="single" w:sz="4" w:space="0" w:color="000000"/>
              <w:right w:val="single" w:sz="4" w:space="0" w:color="000000"/>
            </w:tcBorders>
          </w:tcPr>
          <w:p w:rsidR="00784B83" w:rsidRDefault="00250436">
            <w:pPr>
              <w:spacing w:after="0" w:line="259" w:lineRule="auto"/>
              <w:ind w:left="0" w:firstLine="0"/>
              <w:jc w:val="left"/>
            </w:pPr>
            <w:r>
              <w:t xml:space="preserve">2. </w:t>
            </w:r>
          </w:p>
        </w:tc>
        <w:tc>
          <w:tcPr>
            <w:tcW w:w="1838" w:type="dxa"/>
            <w:tcBorders>
              <w:top w:val="single" w:sz="4" w:space="0" w:color="000000"/>
              <w:left w:val="single" w:sz="4" w:space="0" w:color="000000"/>
              <w:bottom w:val="single" w:sz="4" w:space="0" w:color="000000"/>
              <w:right w:val="single" w:sz="4" w:space="0" w:color="000000"/>
            </w:tcBorders>
          </w:tcPr>
          <w:p w:rsidR="00784B83" w:rsidRDefault="00250436">
            <w:pPr>
              <w:spacing w:after="0" w:line="259" w:lineRule="auto"/>
              <w:ind w:left="0" w:firstLine="0"/>
              <w:jc w:val="left"/>
            </w:pPr>
            <w:r>
              <w:t xml:space="preserve">04/11/2019 </w:t>
            </w:r>
          </w:p>
        </w:tc>
        <w:tc>
          <w:tcPr>
            <w:tcW w:w="1280" w:type="dxa"/>
            <w:tcBorders>
              <w:top w:val="single" w:sz="4" w:space="0" w:color="000000"/>
              <w:left w:val="single" w:sz="4" w:space="0" w:color="000000"/>
              <w:bottom w:val="single" w:sz="4" w:space="0" w:color="000000"/>
              <w:right w:val="single" w:sz="4" w:space="0" w:color="000000"/>
            </w:tcBorders>
          </w:tcPr>
          <w:p w:rsidR="00784B83" w:rsidRDefault="00250436">
            <w:pPr>
              <w:spacing w:after="0" w:line="259" w:lineRule="auto"/>
              <w:ind w:left="3" w:firstLine="0"/>
              <w:jc w:val="left"/>
            </w:pPr>
            <w:r>
              <w:t xml:space="preserve">02 </w:t>
            </w:r>
          </w:p>
        </w:tc>
        <w:tc>
          <w:tcPr>
            <w:tcW w:w="5761" w:type="dxa"/>
            <w:tcBorders>
              <w:top w:val="single" w:sz="4" w:space="0" w:color="000000"/>
              <w:left w:val="single" w:sz="4" w:space="0" w:color="000000"/>
              <w:bottom w:val="single" w:sz="4" w:space="0" w:color="000000"/>
              <w:right w:val="single" w:sz="4" w:space="0" w:color="000000"/>
            </w:tcBorders>
          </w:tcPr>
          <w:p w:rsidR="00784B83" w:rsidRDefault="00250436">
            <w:pPr>
              <w:spacing w:after="0" w:line="259" w:lineRule="auto"/>
              <w:ind w:left="0" w:firstLine="0"/>
            </w:pPr>
            <w:r>
              <w:t xml:space="preserve">Insertion of sections 3.1.3, 3.1.4, 4.2 &amp; 4.3; change of document number and logo </w:t>
            </w:r>
          </w:p>
        </w:tc>
      </w:tr>
    </w:tbl>
    <w:p w:rsidR="00784B83" w:rsidRDefault="00250436">
      <w:pPr>
        <w:spacing w:after="0" w:line="259" w:lineRule="auto"/>
        <w:ind w:left="1800" w:firstLine="0"/>
        <w:jc w:val="left"/>
      </w:pPr>
      <w:r>
        <w:t xml:space="preserve"> </w:t>
      </w:r>
    </w:p>
    <w:sectPr w:rsidR="00784B83">
      <w:headerReference w:type="even" r:id="rId14"/>
      <w:headerReference w:type="default" r:id="rId15"/>
      <w:footerReference w:type="even" r:id="rId16"/>
      <w:footerReference w:type="default" r:id="rId17"/>
      <w:headerReference w:type="first" r:id="rId18"/>
      <w:footerReference w:type="first" r:id="rId19"/>
      <w:pgSz w:w="12240" w:h="15840"/>
      <w:pgMar w:top="1998" w:right="1434" w:bottom="1659" w:left="1080" w:header="727" w:footer="10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0436" w:rsidRDefault="00250436">
      <w:pPr>
        <w:spacing w:after="0" w:line="240" w:lineRule="auto"/>
      </w:pPr>
      <w:r>
        <w:separator/>
      </w:r>
    </w:p>
  </w:endnote>
  <w:endnote w:type="continuationSeparator" w:id="0">
    <w:p w:rsidR="00250436" w:rsidRDefault="0025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4B83" w:rsidRDefault="00784B83">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4B83" w:rsidRDefault="00784B83">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4B83" w:rsidRDefault="00784B83">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4B83" w:rsidRDefault="00250436">
    <w:pPr>
      <w:spacing w:after="0" w:line="259" w:lineRule="auto"/>
      <w:ind w:left="355"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7  </w:t>
    </w:r>
  </w:p>
  <w:p w:rsidR="00784B83" w:rsidRDefault="00250436">
    <w:pPr>
      <w:spacing w:after="0" w:line="259" w:lineRule="auto"/>
      <w:ind w:left="36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4B83" w:rsidRDefault="00250436">
    <w:pPr>
      <w:spacing w:after="0" w:line="259" w:lineRule="auto"/>
      <w:ind w:left="355"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7  </w:t>
    </w:r>
  </w:p>
  <w:p w:rsidR="00784B83" w:rsidRDefault="00250436">
    <w:pPr>
      <w:spacing w:after="0" w:line="259" w:lineRule="auto"/>
      <w:ind w:left="36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4B83" w:rsidRDefault="00250436">
    <w:pPr>
      <w:spacing w:after="0" w:line="259" w:lineRule="auto"/>
      <w:ind w:left="355"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7  </w:t>
    </w:r>
  </w:p>
  <w:p w:rsidR="00784B83" w:rsidRDefault="00250436">
    <w:pPr>
      <w:spacing w:after="0" w:line="259" w:lineRule="auto"/>
      <w:ind w:left="36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0436" w:rsidRDefault="00250436">
      <w:pPr>
        <w:spacing w:after="0" w:line="240" w:lineRule="auto"/>
      </w:pPr>
      <w:r>
        <w:separator/>
      </w:r>
    </w:p>
  </w:footnote>
  <w:footnote w:type="continuationSeparator" w:id="0">
    <w:p w:rsidR="00250436" w:rsidRDefault="00250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4B83" w:rsidRDefault="00250436">
    <w:pPr>
      <w:spacing w:after="0" w:line="259" w:lineRule="auto"/>
      <w:ind w:left="0" w:firstLine="0"/>
      <w:jc w:val="left"/>
    </w:pPr>
    <w:r>
      <w:rPr>
        <w:sz w:val="22"/>
      </w:rPr>
      <w:t xml:space="preserve"> </w:t>
    </w:r>
  </w:p>
  <w:p w:rsidR="00784B83" w:rsidRDefault="00250436">
    <w:pPr>
      <w:spacing w:after="0" w:line="259" w:lineRule="auto"/>
      <w:ind w:left="0" w:firstLine="0"/>
      <w:jc w:val="left"/>
    </w:pPr>
    <w:r>
      <w:rPr>
        <w:sz w:val="22"/>
      </w:rPr>
      <w:t xml:space="preserve"> </w:t>
    </w:r>
  </w:p>
  <w:p w:rsidR="00784B83" w:rsidRDefault="00250436">
    <w:pPr>
      <w:spacing w:after="0" w:line="259" w:lineRule="auto"/>
      <w:ind w:left="0" w:right="-11" w:firstLine="0"/>
      <w:jc w:val="right"/>
    </w:pPr>
    <w:r>
      <w:rPr>
        <w:b/>
      </w:rPr>
      <w:t xml:space="preserve">FDA/IEC/GL-POP/2019/07 </w:t>
    </w:r>
  </w:p>
  <w:p w:rsidR="00784B83" w:rsidRDefault="00250436">
    <w:pPr>
      <w:spacing w:after="0" w:line="259" w:lineRule="auto"/>
      <w:ind w:left="0" w:firstLine="0"/>
      <w:jc w:val="lef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4B83" w:rsidRDefault="00784B83">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4B83" w:rsidRDefault="00784B83">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4B83" w:rsidRDefault="00250436">
    <w:pPr>
      <w:spacing w:after="0" w:line="259" w:lineRule="auto"/>
      <w:ind w:left="360" w:firstLine="0"/>
      <w:jc w:val="left"/>
    </w:pPr>
    <w:r>
      <w:rPr>
        <w:sz w:val="22"/>
      </w:rPr>
      <w:t xml:space="preserve"> </w:t>
    </w:r>
  </w:p>
  <w:p w:rsidR="00784B83" w:rsidRDefault="00250436">
    <w:pPr>
      <w:spacing w:after="0" w:line="259" w:lineRule="auto"/>
      <w:ind w:left="360" w:firstLine="0"/>
      <w:jc w:val="left"/>
    </w:pPr>
    <w:r>
      <w:rPr>
        <w:sz w:val="22"/>
      </w:rPr>
      <w:t xml:space="preserve"> </w:t>
    </w:r>
  </w:p>
  <w:p w:rsidR="00784B83" w:rsidRDefault="00250436">
    <w:pPr>
      <w:spacing w:after="0" w:line="259" w:lineRule="auto"/>
      <w:ind w:left="0" w:right="3" w:firstLine="0"/>
      <w:jc w:val="right"/>
    </w:pPr>
    <w:r>
      <w:rPr>
        <w:b/>
      </w:rPr>
      <w:t xml:space="preserve">FDA/IEC/GL-POP/2019/07 </w:t>
    </w:r>
  </w:p>
  <w:p w:rsidR="00784B83" w:rsidRDefault="00250436">
    <w:pPr>
      <w:spacing w:after="0" w:line="259" w:lineRule="auto"/>
      <w:ind w:left="360" w:firstLine="0"/>
      <w:jc w:val="left"/>
    </w:pP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4B83" w:rsidRDefault="00250436">
    <w:pPr>
      <w:spacing w:after="0" w:line="259" w:lineRule="auto"/>
      <w:ind w:left="360" w:firstLine="0"/>
      <w:jc w:val="left"/>
    </w:pPr>
    <w:r>
      <w:rPr>
        <w:sz w:val="22"/>
      </w:rPr>
      <w:t xml:space="preserve"> </w:t>
    </w:r>
  </w:p>
  <w:p w:rsidR="00784B83" w:rsidRDefault="00250436">
    <w:pPr>
      <w:spacing w:after="0" w:line="259" w:lineRule="auto"/>
      <w:ind w:left="360" w:firstLine="0"/>
      <w:jc w:val="left"/>
    </w:pPr>
    <w:r>
      <w:rPr>
        <w:sz w:val="22"/>
      </w:rPr>
      <w:t xml:space="preserve"> </w:t>
    </w:r>
  </w:p>
  <w:p w:rsidR="00784B83" w:rsidRDefault="00250436">
    <w:pPr>
      <w:spacing w:after="0" w:line="259" w:lineRule="auto"/>
      <w:ind w:left="0" w:right="3" w:firstLine="0"/>
      <w:jc w:val="right"/>
    </w:pPr>
    <w:r>
      <w:rPr>
        <w:b/>
      </w:rPr>
      <w:t xml:space="preserve">FDA/IEC/GL-POP/2019/07 </w:t>
    </w:r>
  </w:p>
  <w:p w:rsidR="00784B83" w:rsidRDefault="00250436">
    <w:pPr>
      <w:spacing w:after="0" w:line="259" w:lineRule="auto"/>
      <w:ind w:left="360" w:firstLine="0"/>
      <w:jc w:val="left"/>
    </w:pP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4B83" w:rsidRDefault="00250436">
    <w:pPr>
      <w:spacing w:after="0" w:line="259" w:lineRule="auto"/>
      <w:ind w:left="360" w:firstLine="0"/>
      <w:jc w:val="left"/>
    </w:pPr>
    <w:r>
      <w:rPr>
        <w:sz w:val="22"/>
      </w:rPr>
      <w:t xml:space="preserve"> </w:t>
    </w:r>
  </w:p>
  <w:p w:rsidR="00784B83" w:rsidRDefault="00250436">
    <w:pPr>
      <w:spacing w:after="0" w:line="259" w:lineRule="auto"/>
      <w:ind w:left="360" w:firstLine="0"/>
      <w:jc w:val="left"/>
    </w:pPr>
    <w:r>
      <w:rPr>
        <w:sz w:val="22"/>
      </w:rPr>
      <w:t xml:space="preserve"> </w:t>
    </w:r>
  </w:p>
  <w:p w:rsidR="00784B83" w:rsidRDefault="00250436">
    <w:pPr>
      <w:spacing w:after="0" w:line="259" w:lineRule="auto"/>
      <w:ind w:left="0" w:right="3" w:firstLine="0"/>
      <w:jc w:val="right"/>
    </w:pPr>
    <w:r>
      <w:rPr>
        <w:b/>
      </w:rPr>
      <w:t xml:space="preserve">FDA/IEC/GL-POP/2019/07 </w:t>
    </w:r>
  </w:p>
  <w:p w:rsidR="00784B83" w:rsidRDefault="00250436">
    <w:pPr>
      <w:spacing w:after="0" w:line="259" w:lineRule="auto"/>
      <w:ind w:left="360"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62653"/>
    <w:multiLevelType w:val="hybridMultilevel"/>
    <w:tmpl w:val="D864F54E"/>
    <w:lvl w:ilvl="0" w:tplc="6EC641DC">
      <w:start w:val="1"/>
      <w:numFmt w:val="bullet"/>
      <w:lvlText w:val=""/>
      <w:lvlJc w:val="left"/>
      <w:pPr>
        <w:ind w:left="324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1CC61CB4">
      <w:start w:val="1"/>
      <w:numFmt w:val="bullet"/>
      <w:lvlText w:val="o"/>
      <w:lvlJc w:val="left"/>
      <w:pPr>
        <w:ind w:left="396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9C24A640">
      <w:start w:val="1"/>
      <w:numFmt w:val="bullet"/>
      <w:lvlText w:val="▪"/>
      <w:lvlJc w:val="left"/>
      <w:pPr>
        <w:ind w:left="468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67242E24">
      <w:start w:val="1"/>
      <w:numFmt w:val="bullet"/>
      <w:lvlText w:val="•"/>
      <w:lvlJc w:val="left"/>
      <w:pPr>
        <w:ind w:left="540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87844FFA">
      <w:start w:val="1"/>
      <w:numFmt w:val="bullet"/>
      <w:lvlText w:val="o"/>
      <w:lvlJc w:val="left"/>
      <w:pPr>
        <w:ind w:left="612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7A629262">
      <w:start w:val="1"/>
      <w:numFmt w:val="bullet"/>
      <w:lvlText w:val="▪"/>
      <w:lvlJc w:val="left"/>
      <w:pPr>
        <w:ind w:left="684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3C8E83B6">
      <w:start w:val="1"/>
      <w:numFmt w:val="bullet"/>
      <w:lvlText w:val="•"/>
      <w:lvlJc w:val="left"/>
      <w:pPr>
        <w:ind w:left="756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51DE0D0E">
      <w:start w:val="1"/>
      <w:numFmt w:val="bullet"/>
      <w:lvlText w:val="o"/>
      <w:lvlJc w:val="left"/>
      <w:pPr>
        <w:ind w:left="828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4CA23B20">
      <w:start w:val="1"/>
      <w:numFmt w:val="bullet"/>
      <w:lvlText w:val="▪"/>
      <w:lvlJc w:val="left"/>
      <w:pPr>
        <w:ind w:left="900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FA501E1"/>
    <w:multiLevelType w:val="hybridMultilevel"/>
    <w:tmpl w:val="858021EC"/>
    <w:lvl w:ilvl="0" w:tplc="A95E2276">
      <w:start w:val="1"/>
      <w:numFmt w:val="lowerLetter"/>
      <w:lvlText w:val="%1."/>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24DD1E">
      <w:start w:val="1"/>
      <w:numFmt w:val="lowerLetter"/>
      <w:lvlText w:val="%2"/>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AE2118">
      <w:start w:val="1"/>
      <w:numFmt w:val="lowerRoman"/>
      <w:lvlText w:val="%3"/>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0621C0">
      <w:start w:val="1"/>
      <w:numFmt w:val="decimal"/>
      <w:lvlText w:val="%4"/>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B4516E">
      <w:start w:val="1"/>
      <w:numFmt w:val="lowerLetter"/>
      <w:lvlText w:val="%5"/>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FC4388">
      <w:start w:val="1"/>
      <w:numFmt w:val="lowerRoman"/>
      <w:lvlText w:val="%6"/>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A085FA">
      <w:start w:val="1"/>
      <w:numFmt w:val="decimal"/>
      <w:lvlText w:val="%7"/>
      <w:lvlJc w:val="left"/>
      <w:pPr>
        <w:ind w:left="7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8001DC">
      <w:start w:val="1"/>
      <w:numFmt w:val="lowerLetter"/>
      <w:lvlText w:val="%8"/>
      <w:lvlJc w:val="left"/>
      <w:pPr>
        <w:ind w:left="8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96E518">
      <w:start w:val="1"/>
      <w:numFmt w:val="lowerRoman"/>
      <w:lvlText w:val="%9"/>
      <w:lvlJc w:val="left"/>
      <w:pPr>
        <w:ind w:left="9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B83"/>
    <w:rsid w:val="00250436"/>
    <w:rsid w:val="0057518B"/>
    <w:rsid w:val="0078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67CD"/>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5" w:line="250"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paragraph" w:styleId="TOC1">
    <w:name w:val="toc 1"/>
    <w:hidden/>
    <w:pPr>
      <w:spacing w:after="96" w:line="249" w:lineRule="auto"/>
      <w:ind w:left="25" w:right="23"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1981</Words>
  <Characters>11294</Characters>
  <Application>Microsoft Office Word</Application>
  <DocSecurity>0</DocSecurity>
  <Lines>94</Lines>
  <Paragraphs>26</Paragraphs>
  <ScaleCrop>false</ScaleCrop>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DID14</dc:creator>
  <cp:keywords/>
  <cp:lastModifiedBy>samuel fahren otoo</cp:lastModifiedBy>
  <cp:revision>2</cp:revision>
  <dcterms:created xsi:type="dcterms:W3CDTF">2020-04-05T21:35:00Z</dcterms:created>
  <dcterms:modified xsi:type="dcterms:W3CDTF">2020-04-05T21:35:00Z</dcterms:modified>
</cp:coreProperties>
</file>