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6E6" w:rsidRDefault="00D92AC8">
      <w:pPr>
        <w:spacing w:after="443" w:line="259" w:lineRule="auto"/>
        <w:ind w:left="14" w:firstLine="0"/>
        <w:jc w:val="left"/>
      </w:pPr>
      <w:r>
        <w:t xml:space="preserve"> </w:t>
      </w:r>
    </w:p>
    <w:p w:rsidR="00E906E6" w:rsidRDefault="00D92AC8">
      <w:pPr>
        <w:spacing w:after="0" w:line="259" w:lineRule="auto"/>
        <w:ind w:left="14" w:firstLine="0"/>
        <w:jc w:val="left"/>
      </w:pPr>
      <w:r>
        <w:rPr>
          <w:rFonts w:ascii="Trebuchet MS" w:eastAsia="Trebuchet MS" w:hAnsi="Trebuchet MS" w:cs="Trebuchet MS"/>
          <w:b/>
        </w:rPr>
        <w:t xml:space="preserve"> </w:t>
      </w:r>
      <w:r>
        <w:t xml:space="preserve"> </w:t>
      </w:r>
    </w:p>
    <w:p w:rsidR="00E906E6" w:rsidRDefault="00D92AC8">
      <w:pPr>
        <w:spacing w:after="50" w:line="229" w:lineRule="auto"/>
        <w:ind w:left="4731" w:right="4273" w:hanging="1087"/>
        <w:jc w:val="left"/>
      </w:pPr>
      <w:r>
        <w:rPr>
          <w:noProof/>
        </w:rPr>
        <w:drawing>
          <wp:inline distT="0" distB="0" distL="0" distR="0">
            <wp:extent cx="1379220" cy="139954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1379220" cy="1399540"/>
                    </a:xfrm>
                    <a:prstGeom prst="rect">
                      <a:avLst/>
                    </a:prstGeom>
                  </pic:spPr>
                </pic:pic>
              </a:graphicData>
            </a:graphic>
          </wp:inline>
        </w:drawing>
      </w:r>
      <w:r>
        <w:rPr>
          <w:rFonts w:ascii="Trebuchet MS" w:eastAsia="Trebuchet MS" w:hAnsi="Trebuchet MS" w:cs="Trebuchet MS"/>
          <w:b/>
        </w:rPr>
        <w:t xml:space="preserve"> </w:t>
      </w:r>
      <w:r>
        <w:t xml:space="preserve"> </w:t>
      </w:r>
      <w:r>
        <w:rPr>
          <w:rFonts w:ascii="Trebuchet MS" w:eastAsia="Trebuchet MS" w:hAnsi="Trebuchet MS" w:cs="Trebuchet MS"/>
          <w:b/>
        </w:rPr>
        <w:t xml:space="preserve"> </w:t>
      </w:r>
      <w:r>
        <w:t xml:space="preserve"> </w:t>
      </w:r>
    </w:p>
    <w:p w:rsidR="00E906E6" w:rsidRDefault="00D92AC8">
      <w:pPr>
        <w:spacing w:after="444" w:line="259" w:lineRule="auto"/>
        <w:ind w:left="0" w:right="627" w:firstLine="0"/>
        <w:jc w:val="center"/>
      </w:pPr>
      <w:r>
        <w:rPr>
          <w:rFonts w:ascii="Trebuchet MS" w:eastAsia="Trebuchet MS" w:hAnsi="Trebuchet MS" w:cs="Trebuchet MS"/>
          <w:b/>
        </w:rPr>
        <w:t xml:space="preserve"> </w:t>
      </w:r>
      <w:r>
        <w:t xml:space="preserve"> </w:t>
      </w:r>
    </w:p>
    <w:p w:rsidR="00E906E6" w:rsidRDefault="00D92AC8">
      <w:pPr>
        <w:spacing w:after="0" w:line="259" w:lineRule="auto"/>
        <w:ind w:left="979" w:firstLine="0"/>
        <w:jc w:val="left"/>
      </w:pPr>
      <w:r>
        <w:rPr>
          <w:b/>
          <w:sz w:val="48"/>
        </w:rPr>
        <w:t>FOOD AND DRUGS AUTHORITY</w:t>
      </w:r>
      <w:r>
        <w:rPr>
          <w:b/>
          <w:sz w:val="48"/>
          <w:vertAlign w:val="subscript"/>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0" w:line="259" w:lineRule="auto"/>
        <w:ind w:left="0" w:right="610" w:firstLine="0"/>
        <w:jc w:val="center"/>
      </w:pPr>
      <w:r>
        <w:rPr>
          <w:b/>
          <w:sz w:val="32"/>
        </w:rPr>
        <w:t xml:space="preserve"> </w:t>
      </w:r>
      <w:r>
        <w:t xml:space="preserve"> </w:t>
      </w:r>
    </w:p>
    <w:p w:rsidR="00E906E6" w:rsidRDefault="00D92AC8">
      <w:pPr>
        <w:spacing w:after="102" w:line="259" w:lineRule="auto"/>
        <w:ind w:left="0" w:right="610" w:firstLine="0"/>
        <w:jc w:val="center"/>
      </w:pPr>
      <w:r>
        <w:rPr>
          <w:b/>
          <w:sz w:val="32"/>
        </w:rPr>
        <w:t xml:space="preserve"> </w:t>
      </w:r>
      <w:r>
        <w:t xml:space="preserve"> </w:t>
      </w:r>
    </w:p>
    <w:p w:rsidR="00E906E6" w:rsidRDefault="00D92AC8">
      <w:pPr>
        <w:spacing w:after="0" w:line="259" w:lineRule="auto"/>
        <w:ind w:left="1123"/>
        <w:jc w:val="left"/>
      </w:pPr>
      <w:r>
        <w:rPr>
          <w:b/>
          <w:sz w:val="40"/>
        </w:rPr>
        <w:t xml:space="preserve">GUIDELINE FOR REGISTRATION OF </w:t>
      </w:r>
      <w:r>
        <w:t xml:space="preserve"> </w:t>
      </w:r>
    </w:p>
    <w:p w:rsidR="00E906E6" w:rsidRDefault="00D92AC8">
      <w:pPr>
        <w:spacing w:after="0" w:line="259" w:lineRule="auto"/>
        <w:ind w:left="1930"/>
        <w:jc w:val="left"/>
      </w:pPr>
      <w:r>
        <w:rPr>
          <w:b/>
          <w:sz w:val="40"/>
        </w:rPr>
        <w:t xml:space="preserve">HOMEOPATHIC MEDICINES </w:t>
      </w:r>
      <w:r>
        <w:t xml:space="preserve"> </w:t>
      </w:r>
    </w:p>
    <w:p w:rsidR="00E906E6" w:rsidRDefault="00D92AC8">
      <w:pPr>
        <w:spacing w:after="0" w:line="259" w:lineRule="auto"/>
        <w:ind w:left="0" w:right="569" w:firstLine="0"/>
        <w:jc w:val="center"/>
      </w:pPr>
      <w:r>
        <w:rPr>
          <w:b/>
          <w:sz w:val="40"/>
        </w:rPr>
        <w:t xml:space="preserve"> </w:t>
      </w:r>
      <w:r>
        <w:t xml:space="preserve"> </w:t>
      </w:r>
    </w:p>
    <w:p w:rsidR="00E906E6" w:rsidRDefault="00D92AC8">
      <w:pPr>
        <w:spacing w:after="0" w:line="259" w:lineRule="auto"/>
        <w:ind w:left="0" w:right="569" w:firstLine="0"/>
        <w:jc w:val="center"/>
      </w:pPr>
      <w:r>
        <w:rPr>
          <w:b/>
          <w:sz w:val="40"/>
        </w:rPr>
        <w:t xml:space="preserve"> </w:t>
      </w:r>
      <w:r>
        <w:t xml:space="preserve"> </w:t>
      </w:r>
    </w:p>
    <w:p w:rsidR="00E906E6" w:rsidRDefault="00D92AC8">
      <w:pPr>
        <w:spacing w:after="0" w:line="259" w:lineRule="auto"/>
        <w:ind w:left="14" w:firstLine="0"/>
        <w:jc w:val="left"/>
      </w:pPr>
      <w:r>
        <w:rPr>
          <w:b/>
          <w:sz w:val="40"/>
        </w:rPr>
        <w:t xml:space="preserve">  </w:t>
      </w:r>
      <w:r>
        <w:t xml:space="preserve"> </w:t>
      </w:r>
    </w:p>
    <w:p w:rsidR="00E906E6" w:rsidRDefault="00D92AC8">
      <w:pPr>
        <w:spacing w:after="0" w:line="259" w:lineRule="auto"/>
        <w:ind w:left="14" w:firstLine="0"/>
        <w:jc w:val="left"/>
      </w:pPr>
      <w:r>
        <w:rPr>
          <w:b/>
          <w:sz w:val="40"/>
        </w:rPr>
        <w:t xml:space="preserve"> </w:t>
      </w:r>
      <w:r>
        <w:t xml:space="preserve"> </w:t>
      </w:r>
    </w:p>
    <w:p w:rsidR="00E906E6" w:rsidRDefault="00D92AC8">
      <w:pPr>
        <w:spacing w:after="0" w:line="259" w:lineRule="auto"/>
        <w:ind w:left="14" w:firstLine="0"/>
        <w:jc w:val="left"/>
      </w:pPr>
      <w:r>
        <w:rPr>
          <w:b/>
          <w:sz w:val="40"/>
        </w:rPr>
        <w:t xml:space="preserve"> </w:t>
      </w:r>
      <w:r>
        <w:t xml:space="preserve"> </w:t>
      </w:r>
    </w:p>
    <w:p w:rsidR="00E906E6" w:rsidRDefault="00D92AC8">
      <w:pPr>
        <w:spacing w:after="0" w:line="259" w:lineRule="auto"/>
        <w:ind w:left="14" w:firstLine="0"/>
        <w:jc w:val="left"/>
      </w:pPr>
      <w:r>
        <w:rPr>
          <w:b/>
          <w:sz w:val="40"/>
        </w:rPr>
        <w:t xml:space="preserve"> </w:t>
      </w:r>
      <w:r>
        <w:t xml:space="preserve"> </w:t>
      </w:r>
    </w:p>
    <w:p w:rsidR="00E906E6" w:rsidRDefault="00D92AC8">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332855" cy="128143"/>
                <wp:effectExtent l="0" t="0" r="0" b="0"/>
                <wp:docPr id="6978" name="Group 6978"/>
                <wp:cNvGraphicFramePr/>
                <a:graphic xmlns:a="http://schemas.openxmlformats.org/drawingml/2006/main">
                  <a:graphicData uri="http://schemas.microsoft.com/office/word/2010/wordprocessingGroup">
                    <wpg:wgp>
                      <wpg:cNvGrpSpPr/>
                      <wpg:grpSpPr>
                        <a:xfrm>
                          <a:off x="0" y="0"/>
                          <a:ext cx="6332855" cy="128143"/>
                          <a:chOff x="0" y="0"/>
                          <a:chExt cx="6332855" cy="128143"/>
                        </a:xfrm>
                      </wpg:grpSpPr>
                      <wps:wsp>
                        <wps:cNvPr id="9032" name="Shape 9032"/>
                        <wps:cNvSpPr/>
                        <wps:spPr>
                          <a:xfrm>
                            <a:off x="17983" y="0"/>
                            <a:ext cx="5943397" cy="19558"/>
                          </a:xfrm>
                          <a:custGeom>
                            <a:avLst/>
                            <a:gdLst/>
                            <a:ahLst/>
                            <a:cxnLst/>
                            <a:rect l="0" t="0" r="0" b="0"/>
                            <a:pathLst>
                              <a:path w="5943397" h="19558">
                                <a:moveTo>
                                  <a:pt x="0" y="0"/>
                                </a:moveTo>
                                <a:lnTo>
                                  <a:pt x="5943397" y="0"/>
                                </a:lnTo>
                                <a:lnTo>
                                  <a:pt x="5943397" y="19558"/>
                                </a:lnTo>
                                <a:lnTo>
                                  <a:pt x="0" y="1955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33" name="Shape 9033"/>
                        <wps:cNvSpPr/>
                        <wps:spPr>
                          <a:xfrm>
                            <a:off x="18288"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34" name="Shape 9034"/>
                        <wps:cNvSpPr/>
                        <wps:spPr>
                          <a:xfrm>
                            <a:off x="21336" y="635"/>
                            <a:ext cx="5938139" cy="9144"/>
                          </a:xfrm>
                          <a:custGeom>
                            <a:avLst/>
                            <a:gdLst/>
                            <a:ahLst/>
                            <a:cxnLst/>
                            <a:rect l="0" t="0" r="0" b="0"/>
                            <a:pathLst>
                              <a:path w="5938139" h="9144">
                                <a:moveTo>
                                  <a:pt x="0" y="0"/>
                                </a:moveTo>
                                <a:lnTo>
                                  <a:pt x="5938139" y="0"/>
                                </a:lnTo>
                                <a:lnTo>
                                  <a:pt x="5938139"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35" name="Shape 9035"/>
                        <wps:cNvSpPr/>
                        <wps:spPr>
                          <a:xfrm>
                            <a:off x="5959602"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36" name="Shape 9036"/>
                        <wps:cNvSpPr/>
                        <wps:spPr>
                          <a:xfrm>
                            <a:off x="18288" y="3556"/>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037" name="Shape 9037"/>
                        <wps:cNvSpPr/>
                        <wps:spPr>
                          <a:xfrm>
                            <a:off x="5959602" y="3556"/>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038" name="Shape 9038"/>
                        <wps:cNvSpPr/>
                        <wps:spPr>
                          <a:xfrm>
                            <a:off x="18288"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039" name="Shape 9039"/>
                        <wps:cNvSpPr/>
                        <wps:spPr>
                          <a:xfrm>
                            <a:off x="21336" y="17272"/>
                            <a:ext cx="5938139" cy="9144"/>
                          </a:xfrm>
                          <a:custGeom>
                            <a:avLst/>
                            <a:gdLst/>
                            <a:ahLst/>
                            <a:cxnLst/>
                            <a:rect l="0" t="0" r="0" b="0"/>
                            <a:pathLst>
                              <a:path w="5938139" h="9144">
                                <a:moveTo>
                                  <a:pt x="0" y="0"/>
                                </a:moveTo>
                                <a:lnTo>
                                  <a:pt x="5938139" y="0"/>
                                </a:lnTo>
                                <a:lnTo>
                                  <a:pt x="5938139"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040" name="Shape 9040"/>
                        <wps:cNvSpPr/>
                        <wps:spPr>
                          <a:xfrm>
                            <a:off x="595960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041" name="Shape 9041"/>
                        <wps:cNvSpPr/>
                        <wps:spPr>
                          <a:xfrm>
                            <a:off x="18288" y="65786"/>
                            <a:ext cx="6314567" cy="25908"/>
                          </a:xfrm>
                          <a:custGeom>
                            <a:avLst/>
                            <a:gdLst/>
                            <a:ahLst/>
                            <a:cxnLst/>
                            <a:rect l="0" t="0" r="0" b="0"/>
                            <a:pathLst>
                              <a:path w="6314567" h="25908">
                                <a:moveTo>
                                  <a:pt x="0" y="0"/>
                                </a:moveTo>
                                <a:lnTo>
                                  <a:pt x="6314567" y="0"/>
                                </a:lnTo>
                                <a:lnTo>
                                  <a:pt x="6314567"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 name="Shape 9042"/>
                        <wps:cNvSpPr/>
                        <wps:spPr>
                          <a:xfrm>
                            <a:off x="0" y="118999"/>
                            <a:ext cx="5980812" cy="9144"/>
                          </a:xfrm>
                          <a:custGeom>
                            <a:avLst/>
                            <a:gdLst/>
                            <a:ahLst/>
                            <a:cxnLst/>
                            <a:rect l="0" t="0" r="0" b="0"/>
                            <a:pathLst>
                              <a:path w="5980812" h="9144">
                                <a:moveTo>
                                  <a:pt x="0" y="0"/>
                                </a:moveTo>
                                <a:lnTo>
                                  <a:pt x="5980812" y="0"/>
                                </a:lnTo>
                                <a:lnTo>
                                  <a:pt x="598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78" style="width:498.65pt;height:10.09pt;mso-position-horizontal-relative:char;mso-position-vertical-relative:line" coordsize="63328,1281">
                <v:shape id="Shape 9043" style="position:absolute;width:59433;height:195;left:179;top:0;" coordsize="5943397,19558" path="m0,0l5943397,0l5943397,19558l0,19558l0,0">
                  <v:stroke weight="0pt" endcap="flat" joinstyle="miter" miterlimit="10" on="false" color="#000000" opacity="0"/>
                  <v:fill on="true" color="#a0a0a0"/>
                </v:shape>
                <v:shape id="Shape 9044" style="position:absolute;width:91;height:91;left:182;top:6;" coordsize="9144,9144" path="m0,0l9144,0l9144,9144l0,9144l0,0">
                  <v:stroke weight="0pt" endcap="flat" joinstyle="miter" miterlimit="10" on="false" color="#000000" opacity="0"/>
                  <v:fill on="true" color="#a0a0a0"/>
                </v:shape>
                <v:shape id="Shape 9045" style="position:absolute;width:59381;height:91;left:213;top:6;" coordsize="5938139,9144" path="m0,0l5938139,0l5938139,9144l0,9144l0,0">
                  <v:stroke weight="0pt" endcap="flat" joinstyle="miter" miterlimit="10" on="false" color="#000000" opacity="0"/>
                  <v:fill on="true" color="#a0a0a0"/>
                </v:shape>
                <v:shape id="Shape 9046" style="position:absolute;width:91;height:91;left:59596;top:6;" coordsize="9144,9144" path="m0,0l9144,0l9144,9144l0,9144l0,0">
                  <v:stroke weight="0pt" endcap="flat" joinstyle="miter" miterlimit="10" on="false" color="#000000" opacity="0"/>
                  <v:fill on="true" color="#a0a0a0"/>
                </v:shape>
                <v:shape id="Shape 9047" style="position:absolute;width:91;height:137;left:182;top:35;" coordsize="9144,13715" path="m0,0l9144,0l9144,13715l0,13715l0,0">
                  <v:stroke weight="0pt" endcap="flat" joinstyle="miter" miterlimit="10" on="false" color="#000000" opacity="0"/>
                  <v:fill on="true" color="#a0a0a0"/>
                </v:shape>
                <v:shape id="Shape 9048" style="position:absolute;width:91;height:137;left:59596;top:35;" coordsize="9144,13715" path="m0,0l9144,0l9144,13715l0,13715l0,0">
                  <v:stroke weight="0pt" endcap="flat" joinstyle="miter" miterlimit="10" on="false" color="#000000" opacity="0"/>
                  <v:fill on="true" color="#e3e3e3"/>
                </v:shape>
                <v:shape id="Shape 9049" style="position:absolute;width:91;height:91;left:182;top:172;" coordsize="9144,9144" path="m0,0l9144,0l9144,9144l0,9144l0,0">
                  <v:stroke weight="0pt" endcap="flat" joinstyle="miter" miterlimit="10" on="false" color="#000000" opacity="0"/>
                  <v:fill on="true" color="#e3e3e3"/>
                </v:shape>
                <v:shape id="Shape 9050" style="position:absolute;width:59381;height:91;left:213;top:172;" coordsize="5938139,9144" path="m0,0l5938139,0l5938139,9144l0,9144l0,0">
                  <v:stroke weight="0pt" endcap="flat" joinstyle="miter" miterlimit="10" on="false" color="#000000" opacity="0"/>
                  <v:fill on="true" color="#e3e3e3"/>
                </v:shape>
                <v:shape id="Shape 9051" style="position:absolute;width:91;height:91;left:59596;top:172;" coordsize="9144,9144" path="m0,0l9144,0l9144,9144l0,9144l0,0">
                  <v:stroke weight="0pt" endcap="flat" joinstyle="miter" miterlimit="10" on="false" color="#000000" opacity="0"/>
                  <v:fill on="true" color="#e3e3e3"/>
                </v:shape>
                <v:shape id="Shape 9052" style="position:absolute;width:63145;height:259;left:182;top:657;" coordsize="6314567,25908" path="m0,0l6314567,0l6314567,25908l0,25908l0,0">
                  <v:stroke weight="0pt" endcap="flat" joinstyle="miter" miterlimit="10" on="false" color="#000000" opacity="0"/>
                  <v:fill on="true" color="#000000"/>
                </v:shape>
                <v:shape id="Shape 9053" style="position:absolute;width:59808;height:91;left:0;top:1189;" coordsize="5980812,9144" path="m0,0l5980812,0l5980812,9144l0,9144l0,0">
                  <v:stroke weight="0pt" endcap="flat" joinstyle="miter" miterlimit="10" on="false" color="#000000" opacity="0"/>
                  <v:fill on="true" color="#000000"/>
                </v:shape>
              </v:group>
            </w:pict>
          </mc:Fallback>
        </mc:AlternateContent>
      </w:r>
      <w:r>
        <w:rPr>
          <w:b/>
          <w:sz w:val="40"/>
        </w:rPr>
        <w:t xml:space="preserve"> </w:t>
      </w:r>
      <w:r>
        <w:t xml:space="preserve"> </w:t>
      </w:r>
    </w:p>
    <w:p w:rsidR="00E906E6" w:rsidRDefault="00D92AC8">
      <w:pPr>
        <w:spacing w:after="1" w:line="259" w:lineRule="auto"/>
        <w:ind w:left="14" w:firstLine="0"/>
        <w:jc w:val="left"/>
      </w:pPr>
      <w:r>
        <w:rPr>
          <w:b/>
        </w:rPr>
        <w:t xml:space="preserve"> </w:t>
      </w:r>
      <w:r>
        <w:t xml:space="preserve"> </w:t>
      </w:r>
    </w:p>
    <w:p w:rsidR="00AF7E3D" w:rsidRDefault="00D92AC8">
      <w:pPr>
        <w:spacing w:after="0" w:line="266" w:lineRule="auto"/>
        <w:ind w:left="-5"/>
        <w:jc w:val="left"/>
        <w:rPr>
          <w:b/>
        </w:rPr>
      </w:pPr>
      <w:r>
        <w:rPr>
          <w:b/>
        </w:rPr>
        <w:t xml:space="preserve">Document No.:   </w:t>
      </w:r>
      <w:r>
        <w:rPr>
          <w:b/>
        </w:rPr>
        <w:tab/>
        <w:t xml:space="preserve">  </w:t>
      </w:r>
      <w:r>
        <w:rPr>
          <w:b/>
        </w:rPr>
        <w:tab/>
        <w:t xml:space="preserve"> FDA/HMD/GL-HP/2012/01 </w:t>
      </w:r>
    </w:p>
    <w:p w:rsidR="00AF7E3D" w:rsidRDefault="00D92AC8">
      <w:pPr>
        <w:spacing w:after="0" w:line="266" w:lineRule="auto"/>
        <w:ind w:left="-5"/>
        <w:jc w:val="left"/>
        <w:rPr>
          <w:b/>
        </w:rPr>
      </w:pPr>
      <w:r>
        <w:rPr>
          <w:b/>
        </w:rPr>
        <w:t xml:space="preserve">Date of First Adoption:  </w:t>
      </w:r>
      <w:r>
        <w:rPr>
          <w:b/>
        </w:rPr>
        <w:tab/>
        <w:t xml:space="preserve"> 1</w:t>
      </w:r>
      <w:r>
        <w:rPr>
          <w:b/>
          <w:vertAlign w:val="superscript"/>
        </w:rPr>
        <w:t>st</w:t>
      </w:r>
      <w:r>
        <w:rPr>
          <w:b/>
        </w:rPr>
        <w:t xml:space="preserve"> </w:t>
      </w:r>
      <w:r>
        <w:rPr>
          <w:b/>
        </w:rPr>
        <w:t xml:space="preserve">February 2013 </w:t>
      </w:r>
    </w:p>
    <w:p w:rsidR="00AF7E3D" w:rsidRDefault="00D92AC8">
      <w:pPr>
        <w:spacing w:after="0" w:line="266" w:lineRule="auto"/>
        <w:ind w:left="-5"/>
        <w:jc w:val="left"/>
        <w:rPr>
          <w:b/>
        </w:rPr>
      </w:pPr>
      <w:r>
        <w:rPr>
          <w:b/>
        </w:rPr>
        <w:t xml:space="preserve">Date of Issue:     </w:t>
      </w:r>
      <w:r>
        <w:rPr>
          <w:b/>
        </w:rPr>
        <w:tab/>
        <w:t xml:space="preserve"> </w:t>
      </w:r>
      <w:r w:rsidR="00AF7E3D">
        <w:rPr>
          <w:b/>
        </w:rPr>
        <w:t xml:space="preserve">            </w:t>
      </w:r>
      <w:r>
        <w:rPr>
          <w:b/>
        </w:rPr>
        <w:t>1</w:t>
      </w:r>
      <w:r>
        <w:rPr>
          <w:b/>
          <w:vertAlign w:val="superscript"/>
        </w:rPr>
        <w:t>st</w:t>
      </w:r>
      <w:r>
        <w:rPr>
          <w:b/>
        </w:rPr>
        <w:t xml:space="preserve"> March 2013 </w:t>
      </w:r>
    </w:p>
    <w:p w:rsidR="00E906E6" w:rsidRDefault="00D92AC8">
      <w:pPr>
        <w:spacing w:after="0" w:line="266" w:lineRule="auto"/>
        <w:ind w:left="-5"/>
        <w:jc w:val="left"/>
      </w:pPr>
      <w:r>
        <w:rPr>
          <w:b/>
        </w:rPr>
        <w:t xml:space="preserve">Version No.:    </w:t>
      </w:r>
      <w:r>
        <w:rPr>
          <w:b/>
        </w:rPr>
        <w:tab/>
        <w:t xml:space="preserve">  </w:t>
      </w:r>
      <w:r>
        <w:rPr>
          <w:b/>
        </w:rPr>
        <w:tab/>
        <w:t xml:space="preserve"> 01 </w:t>
      </w:r>
      <w:r>
        <w:t xml:space="preserve"> </w:t>
      </w:r>
    </w:p>
    <w:p w:rsidR="00E906E6" w:rsidRDefault="00D92AC8">
      <w:pPr>
        <w:spacing w:after="15" w:line="259" w:lineRule="auto"/>
        <w:ind w:left="0" w:right="627" w:firstLine="0"/>
        <w:jc w:val="center"/>
      </w:pPr>
      <w:r>
        <w:rPr>
          <w:rFonts w:ascii="Trebuchet MS" w:eastAsia="Trebuchet MS" w:hAnsi="Trebuchet MS" w:cs="Trebuchet MS"/>
          <w:b/>
        </w:rPr>
        <w:t xml:space="preserve"> </w:t>
      </w:r>
      <w:r>
        <w:t xml:space="preserve"> </w:t>
      </w:r>
    </w:p>
    <w:p w:rsidR="00E906E6" w:rsidRDefault="00D92AC8">
      <w:pPr>
        <w:spacing w:after="24" w:line="259" w:lineRule="auto"/>
        <w:ind w:left="0" w:right="627" w:firstLine="0"/>
        <w:jc w:val="center"/>
      </w:pPr>
      <w:r>
        <w:rPr>
          <w:rFonts w:ascii="Trebuchet MS" w:eastAsia="Trebuchet MS" w:hAnsi="Trebuchet MS" w:cs="Trebuchet MS"/>
          <w:b/>
        </w:rPr>
        <w:t xml:space="preserve"> </w:t>
      </w:r>
      <w:r>
        <w:t xml:space="preserve"> </w:t>
      </w:r>
    </w:p>
    <w:p w:rsidR="00E906E6" w:rsidRDefault="00D92AC8">
      <w:pPr>
        <w:spacing w:after="20" w:line="259" w:lineRule="auto"/>
        <w:ind w:left="2252" w:firstLine="0"/>
        <w:jc w:val="center"/>
      </w:pPr>
      <w:r>
        <w:rPr>
          <w:rFonts w:ascii="Trebuchet MS" w:eastAsia="Trebuchet MS" w:hAnsi="Trebuchet MS" w:cs="Trebuchet MS"/>
          <w:b/>
        </w:rPr>
        <w:t xml:space="preserve">  </w:t>
      </w:r>
      <w:r>
        <w:rPr>
          <w:rFonts w:ascii="Trebuchet MS" w:eastAsia="Trebuchet MS" w:hAnsi="Trebuchet MS" w:cs="Trebuchet MS"/>
          <w:b/>
        </w:rPr>
        <w:tab/>
        <w:t xml:space="preserve"> </w:t>
      </w:r>
      <w:r>
        <w:t xml:space="preserve"> </w:t>
      </w:r>
    </w:p>
    <w:p w:rsidR="00E906E6" w:rsidRDefault="00D92AC8">
      <w:pPr>
        <w:spacing w:after="15" w:line="259" w:lineRule="auto"/>
        <w:ind w:left="0" w:right="627" w:firstLine="0"/>
        <w:jc w:val="center"/>
      </w:pPr>
      <w:r>
        <w:rPr>
          <w:rFonts w:ascii="Trebuchet MS" w:eastAsia="Trebuchet MS" w:hAnsi="Trebuchet MS" w:cs="Trebuchet MS"/>
          <w:b/>
        </w:rPr>
        <w:lastRenderedPageBreak/>
        <w:t xml:space="preserve"> </w:t>
      </w:r>
      <w:r>
        <w:t xml:space="preserve"> </w:t>
      </w:r>
    </w:p>
    <w:p w:rsidR="00E906E6" w:rsidRDefault="00D92AC8">
      <w:pPr>
        <w:spacing w:after="15" w:line="259" w:lineRule="auto"/>
        <w:ind w:left="14" w:firstLine="0"/>
        <w:jc w:val="left"/>
      </w:pPr>
      <w:r>
        <w:rPr>
          <w:rFonts w:ascii="Trebuchet MS" w:eastAsia="Trebuchet MS" w:hAnsi="Trebuchet MS" w:cs="Trebuchet MS"/>
          <w:b/>
        </w:rPr>
        <w:t xml:space="preserve"> </w:t>
      </w:r>
      <w:r>
        <w:t xml:space="preserve"> </w:t>
      </w:r>
    </w:p>
    <w:p w:rsidR="00E906E6" w:rsidRDefault="00D92AC8">
      <w:pPr>
        <w:spacing w:after="520" w:line="259" w:lineRule="auto"/>
        <w:ind w:left="14" w:firstLine="0"/>
        <w:jc w:val="left"/>
      </w:pPr>
      <w:r>
        <w:rPr>
          <w:rFonts w:ascii="Trebuchet MS" w:eastAsia="Trebuchet MS" w:hAnsi="Trebuchet MS" w:cs="Trebuchet MS"/>
          <w:b/>
        </w:rPr>
        <w:t xml:space="preserve"> </w:t>
      </w:r>
      <w:r>
        <w:t xml:space="preserve"> </w:t>
      </w:r>
    </w:p>
    <w:p w:rsidR="00E906E6" w:rsidRDefault="00D92AC8">
      <w:pPr>
        <w:spacing w:after="0" w:line="259" w:lineRule="auto"/>
        <w:ind w:left="14" w:firstLine="0"/>
        <w:jc w:val="left"/>
      </w:pPr>
      <w:r>
        <w:t xml:space="preserve"> </w:t>
      </w:r>
    </w:p>
    <w:p w:rsidR="00E906E6" w:rsidRDefault="00D92AC8">
      <w:pPr>
        <w:spacing w:after="0" w:line="259" w:lineRule="auto"/>
        <w:ind w:left="-5"/>
        <w:jc w:val="left"/>
      </w:pPr>
      <w:r>
        <w:rPr>
          <w:b/>
          <w:sz w:val="28"/>
        </w:rPr>
        <w:t xml:space="preserve">TABLE OF CONTENT </w:t>
      </w:r>
      <w:r>
        <w:t xml:space="preserve"> </w:t>
      </w:r>
    </w:p>
    <w:p w:rsidR="00E906E6" w:rsidRDefault="00D92AC8">
      <w:pPr>
        <w:spacing w:after="0" w:line="259" w:lineRule="auto"/>
        <w:ind w:left="14" w:firstLine="0"/>
        <w:jc w:val="left"/>
      </w:pPr>
      <w:r>
        <w:rPr>
          <w:rFonts w:ascii="Trebuchet MS" w:eastAsia="Trebuchet MS" w:hAnsi="Trebuchet MS" w:cs="Trebuchet MS"/>
          <w:b/>
          <w:sz w:val="28"/>
        </w:rPr>
        <w:t xml:space="preserve"> </w:t>
      </w:r>
      <w:r>
        <w:t xml:space="preserve"> </w:t>
      </w:r>
    </w:p>
    <w:sdt>
      <w:sdtPr>
        <w:id w:val="-1059316953"/>
        <w:docPartObj>
          <w:docPartGallery w:val="Table of Contents"/>
        </w:docPartObj>
      </w:sdtPr>
      <w:sdtEndPr/>
      <w:sdtContent>
        <w:p w:rsidR="00E906E6" w:rsidRDefault="00D92AC8">
          <w:pPr>
            <w:pStyle w:val="TOC1"/>
            <w:tabs>
              <w:tab w:val="right" w:leader="dot" w:pos="10221"/>
            </w:tabs>
          </w:pPr>
          <w:r>
            <w:fldChar w:fldCharType="begin"/>
          </w:r>
          <w:r>
            <w:instrText xml:space="preserve"> TOC \o "1-2" \h \z \u </w:instrText>
          </w:r>
          <w:r>
            <w:fldChar w:fldCharType="separate"/>
          </w:r>
          <w:hyperlink w:anchor="_Toc8996">
            <w:r>
              <w:t>1.</w:t>
            </w:r>
            <w:r>
              <w:rPr>
                <w:rFonts w:ascii="Arial" w:eastAsia="Arial" w:hAnsi="Arial" w:cs="Arial"/>
              </w:rPr>
              <w:t xml:space="preserve"> </w:t>
            </w:r>
            <w:r>
              <w:t>SCOPE</w:t>
            </w:r>
            <w:r>
              <w:tab/>
            </w:r>
            <w:r>
              <w:fldChar w:fldCharType="begin"/>
            </w:r>
            <w:r>
              <w:instrText>PAGEREF _Toc8996 \h</w:instrText>
            </w:r>
            <w:r>
              <w:fldChar w:fldCharType="separate"/>
            </w:r>
            <w:r>
              <w:t xml:space="preserve">3 </w:t>
            </w:r>
            <w:r>
              <w:fldChar w:fldCharType="end"/>
            </w:r>
          </w:hyperlink>
        </w:p>
        <w:p w:rsidR="00E906E6" w:rsidRDefault="00D92AC8">
          <w:pPr>
            <w:pStyle w:val="TOC1"/>
            <w:tabs>
              <w:tab w:val="right" w:leader="dot" w:pos="10221"/>
            </w:tabs>
          </w:pPr>
          <w:hyperlink w:anchor="_Toc8997">
            <w:r>
              <w:t>2.</w:t>
            </w:r>
            <w:r>
              <w:rPr>
                <w:rFonts w:ascii="Arial" w:eastAsia="Arial" w:hAnsi="Arial" w:cs="Arial"/>
              </w:rPr>
              <w:t xml:space="preserve"> </w:t>
            </w:r>
            <w:r>
              <w:t>INTERPRETATION</w:t>
            </w:r>
            <w:r>
              <w:tab/>
            </w:r>
            <w:r>
              <w:fldChar w:fldCharType="begin"/>
            </w:r>
            <w:r>
              <w:instrText>PAGEREF _Toc8997 \h</w:instrText>
            </w:r>
            <w:r>
              <w:fldChar w:fldCharType="separate"/>
            </w:r>
            <w:r>
              <w:t xml:space="preserve">3 </w:t>
            </w:r>
            <w:r>
              <w:fldChar w:fldCharType="end"/>
            </w:r>
          </w:hyperlink>
        </w:p>
        <w:p w:rsidR="00E906E6" w:rsidRDefault="00D92AC8">
          <w:pPr>
            <w:pStyle w:val="TOC1"/>
            <w:tabs>
              <w:tab w:val="right" w:leader="dot" w:pos="10221"/>
            </w:tabs>
          </w:pPr>
          <w:hyperlink w:anchor="_Toc8998">
            <w:r>
              <w:t>3.</w:t>
            </w:r>
            <w:r>
              <w:rPr>
                <w:rFonts w:ascii="Arial" w:eastAsia="Arial" w:hAnsi="Arial" w:cs="Arial"/>
              </w:rPr>
              <w:t xml:space="preserve"> </w:t>
            </w:r>
            <w:r>
              <w:t>REQUIREMENTS</w:t>
            </w:r>
            <w:r>
              <w:tab/>
            </w:r>
            <w:r>
              <w:fldChar w:fldCharType="begin"/>
            </w:r>
            <w:r>
              <w:instrText>PAGEREF _Toc8998 \h</w:instrText>
            </w:r>
            <w:r>
              <w:fldChar w:fldCharType="separate"/>
            </w:r>
            <w:r>
              <w:t xml:space="preserve">4 </w:t>
            </w:r>
            <w:r>
              <w:fldChar w:fldCharType="end"/>
            </w:r>
          </w:hyperlink>
        </w:p>
        <w:p w:rsidR="00E906E6" w:rsidRDefault="00D92AC8">
          <w:pPr>
            <w:pStyle w:val="TOC2"/>
            <w:tabs>
              <w:tab w:val="right" w:leader="dot" w:pos="10221"/>
            </w:tabs>
          </w:pPr>
          <w:hyperlink w:anchor="_Toc8999">
            <w:r>
              <w:t>3.1</w:t>
            </w:r>
            <w:r>
              <w:rPr>
                <w:rFonts w:ascii="Arial" w:eastAsia="Arial" w:hAnsi="Arial" w:cs="Arial"/>
              </w:rPr>
              <w:t xml:space="preserve">  </w:t>
            </w:r>
            <w:r>
              <w:t>GENERAL REQUIREMENTS</w:t>
            </w:r>
            <w:r>
              <w:tab/>
            </w:r>
            <w:r>
              <w:fldChar w:fldCharType="begin"/>
            </w:r>
            <w:r>
              <w:instrText>PAGEREF</w:instrText>
            </w:r>
            <w:r>
              <w:instrText xml:space="preserve"> _Toc8999 \h</w:instrText>
            </w:r>
            <w:r>
              <w:fldChar w:fldCharType="separate"/>
            </w:r>
            <w:r>
              <w:t xml:space="preserve">4 </w:t>
            </w:r>
            <w:r>
              <w:fldChar w:fldCharType="end"/>
            </w:r>
          </w:hyperlink>
        </w:p>
        <w:p w:rsidR="00E906E6" w:rsidRDefault="00D92AC8">
          <w:pPr>
            <w:pStyle w:val="TOC2"/>
            <w:tabs>
              <w:tab w:val="right" w:leader="dot" w:pos="10221"/>
            </w:tabs>
          </w:pPr>
          <w:hyperlink w:anchor="_Toc9000">
            <w:r>
              <w:t>3.2</w:t>
            </w:r>
            <w:r>
              <w:rPr>
                <w:rFonts w:ascii="Arial" w:eastAsia="Arial" w:hAnsi="Arial" w:cs="Arial"/>
              </w:rPr>
              <w:t xml:space="preserve">  </w:t>
            </w:r>
            <w:r>
              <w:t>SPECIFIC REQUIREMENTS</w:t>
            </w:r>
            <w:r>
              <w:tab/>
            </w:r>
            <w:r>
              <w:fldChar w:fldCharType="begin"/>
            </w:r>
            <w:r>
              <w:instrText>PAGEREF _Toc9000 \h</w:instrText>
            </w:r>
            <w:r>
              <w:fldChar w:fldCharType="separate"/>
            </w:r>
            <w:r>
              <w:t xml:space="preserve">5 </w:t>
            </w:r>
            <w:r>
              <w:fldChar w:fldCharType="end"/>
            </w:r>
          </w:hyperlink>
        </w:p>
        <w:p w:rsidR="00E906E6" w:rsidRDefault="00D92AC8">
          <w:pPr>
            <w:pStyle w:val="TOC2"/>
            <w:tabs>
              <w:tab w:val="right" w:leader="dot" w:pos="10221"/>
            </w:tabs>
          </w:pPr>
          <w:hyperlink w:anchor="_Toc9001">
            <w:r>
              <w:t>3.3</w:t>
            </w:r>
            <w:r>
              <w:rPr>
                <w:rFonts w:ascii="Arial" w:eastAsia="Arial" w:hAnsi="Arial" w:cs="Arial"/>
              </w:rPr>
              <w:t xml:space="preserve">  </w:t>
            </w:r>
            <w:r>
              <w:t>QUALITY SPECIFICATIONS</w:t>
            </w:r>
            <w:r>
              <w:tab/>
            </w:r>
            <w:r>
              <w:fldChar w:fldCharType="begin"/>
            </w:r>
            <w:r>
              <w:instrText>PAGEREF _Toc9001 \h</w:instrText>
            </w:r>
            <w:r>
              <w:fldChar w:fldCharType="separate"/>
            </w:r>
            <w:r>
              <w:t xml:space="preserve">6 </w:t>
            </w:r>
            <w:r>
              <w:fldChar w:fldCharType="end"/>
            </w:r>
          </w:hyperlink>
        </w:p>
        <w:p w:rsidR="00E906E6" w:rsidRDefault="00D92AC8">
          <w:pPr>
            <w:pStyle w:val="TOC2"/>
            <w:tabs>
              <w:tab w:val="right" w:leader="dot" w:pos="10221"/>
            </w:tabs>
          </w:pPr>
          <w:hyperlink w:anchor="_Toc9002">
            <w:r>
              <w:t>3.4</w:t>
            </w:r>
            <w:r>
              <w:rPr>
                <w:rFonts w:ascii="Arial" w:eastAsia="Arial" w:hAnsi="Arial" w:cs="Arial"/>
              </w:rPr>
              <w:t xml:space="preserve"> </w:t>
            </w:r>
            <w:r>
              <w:t>IDENTIFICATION</w:t>
            </w:r>
            <w:r>
              <w:tab/>
            </w:r>
            <w:r>
              <w:fldChar w:fldCharType="begin"/>
            </w:r>
            <w:r>
              <w:instrText>PA</w:instrText>
            </w:r>
            <w:r>
              <w:instrText>GEREF _Toc9002 \h</w:instrText>
            </w:r>
            <w:r>
              <w:fldChar w:fldCharType="separate"/>
            </w:r>
            <w:r>
              <w:t xml:space="preserve">6 </w:t>
            </w:r>
            <w:r>
              <w:fldChar w:fldCharType="end"/>
            </w:r>
          </w:hyperlink>
        </w:p>
        <w:p w:rsidR="00E906E6" w:rsidRDefault="00D92AC8">
          <w:pPr>
            <w:pStyle w:val="TOC2"/>
            <w:tabs>
              <w:tab w:val="right" w:leader="dot" w:pos="10221"/>
            </w:tabs>
          </w:pPr>
          <w:hyperlink w:anchor="_Toc9003">
            <w:r>
              <w:t>3.5</w:t>
            </w:r>
            <w:r>
              <w:rPr>
                <w:rFonts w:ascii="Arial" w:eastAsia="Arial" w:hAnsi="Arial" w:cs="Arial"/>
              </w:rPr>
              <w:t xml:space="preserve">  </w:t>
            </w:r>
            <w:r>
              <w:t>MICROBIAL TESTING</w:t>
            </w:r>
            <w:r>
              <w:tab/>
            </w:r>
            <w:r>
              <w:fldChar w:fldCharType="begin"/>
            </w:r>
            <w:r>
              <w:instrText>PAGEREF _Toc9003 \h</w:instrText>
            </w:r>
            <w:r>
              <w:fldChar w:fldCharType="separate"/>
            </w:r>
            <w:r>
              <w:t xml:space="preserve">6 </w:t>
            </w:r>
            <w:r>
              <w:fldChar w:fldCharType="end"/>
            </w:r>
          </w:hyperlink>
        </w:p>
        <w:p w:rsidR="00E906E6" w:rsidRDefault="00D92AC8">
          <w:pPr>
            <w:pStyle w:val="TOC2"/>
            <w:tabs>
              <w:tab w:val="right" w:leader="dot" w:pos="10221"/>
            </w:tabs>
          </w:pPr>
          <w:hyperlink w:anchor="_Toc9004">
            <w:r>
              <w:t>3.6</w:t>
            </w:r>
            <w:r>
              <w:rPr>
                <w:rFonts w:ascii="Arial" w:eastAsia="Arial" w:hAnsi="Arial" w:cs="Arial"/>
              </w:rPr>
              <w:t xml:space="preserve"> </w:t>
            </w:r>
            <w:r>
              <w:t>MICROBIAL CONTAMINANTS</w:t>
            </w:r>
            <w:r>
              <w:tab/>
            </w:r>
            <w:r>
              <w:fldChar w:fldCharType="begin"/>
            </w:r>
            <w:r>
              <w:instrText>PAGEREF _Toc9004 \h</w:instrText>
            </w:r>
            <w:r>
              <w:fldChar w:fldCharType="separate"/>
            </w:r>
            <w:r>
              <w:t xml:space="preserve">6 </w:t>
            </w:r>
            <w:r>
              <w:fldChar w:fldCharType="end"/>
            </w:r>
          </w:hyperlink>
        </w:p>
        <w:p w:rsidR="00E906E6" w:rsidRDefault="00D92AC8">
          <w:pPr>
            <w:pStyle w:val="TOC2"/>
            <w:tabs>
              <w:tab w:val="right" w:leader="dot" w:pos="10221"/>
            </w:tabs>
          </w:pPr>
          <w:hyperlink w:anchor="_Toc9005">
            <w:r>
              <w:t>3.7</w:t>
            </w:r>
            <w:r>
              <w:rPr>
                <w:rFonts w:ascii="Arial" w:eastAsia="Arial" w:hAnsi="Arial" w:cs="Arial"/>
              </w:rPr>
              <w:t xml:space="preserve">  </w:t>
            </w:r>
            <w:r>
              <w:t>CHEMICAL CONTAMINA</w:t>
            </w:r>
            <w:r>
              <w:t>NTS</w:t>
            </w:r>
            <w:r>
              <w:tab/>
            </w:r>
            <w:r>
              <w:fldChar w:fldCharType="begin"/>
            </w:r>
            <w:r>
              <w:instrText>PAGEREF _Toc9005 \h</w:instrText>
            </w:r>
            <w:r>
              <w:fldChar w:fldCharType="separate"/>
            </w:r>
            <w:r>
              <w:t xml:space="preserve">6 </w:t>
            </w:r>
            <w:r>
              <w:fldChar w:fldCharType="end"/>
            </w:r>
          </w:hyperlink>
        </w:p>
        <w:p w:rsidR="00E906E6" w:rsidRDefault="00D92AC8">
          <w:pPr>
            <w:pStyle w:val="TOC2"/>
            <w:tabs>
              <w:tab w:val="right" w:leader="dot" w:pos="10221"/>
            </w:tabs>
          </w:pPr>
          <w:hyperlink w:anchor="_Toc9006">
            <w:r>
              <w:t>3.8</w:t>
            </w:r>
            <w:r>
              <w:rPr>
                <w:rFonts w:ascii="Arial" w:eastAsia="Arial" w:hAnsi="Arial" w:cs="Arial"/>
              </w:rPr>
              <w:t xml:space="preserve"> </w:t>
            </w:r>
            <w:r>
              <w:t>HEAVY METAL</w:t>
            </w:r>
            <w:r>
              <w:tab/>
            </w:r>
            <w:r>
              <w:fldChar w:fldCharType="begin"/>
            </w:r>
            <w:r>
              <w:instrText>PAGEREF _Toc9006 \h</w:instrText>
            </w:r>
            <w:r>
              <w:fldChar w:fldCharType="separate"/>
            </w:r>
            <w:r>
              <w:t xml:space="preserve">6 </w:t>
            </w:r>
            <w:r>
              <w:fldChar w:fldCharType="end"/>
            </w:r>
          </w:hyperlink>
        </w:p>
        <w:p w:rsidR="00E906E6" w:rsidRDefault="00D92AC8">
          <w:r>
            <w:fldChar w:fldCharType="end"/>
          </w:r>
        </w:p>
      </w:sdtContent>
    </w:sdt>
    <w:p w:rsidR="00E906E6" w:rsidRDefault="00D92AC8">
      <w:pPr>
        <w:ind w:left="14" w:right="101" w:firstLine="158"/>
      </w:pPr>
      <w:r>
        <w:t xml:space="preserve"> </w:t>
      </w:r>
    </w:p>
    <w:p w:rsidR="00E906E6" w:rsidRDefault="00D92AC8">
      <w:pPr>
        <w:spacing w:after="71" w:line="259" w:lineRule="auto"/>
        <w:ind w:left="14" w:firstLine="0"/>
        <w:jc w:val="left"/>
      </w:pPr>
      <w:r>
        <w:rPr>
          <w:sz w:val="20"/>
        </w:rPr>
        <w:t xml:space="preserve"> </w:t>
      </w:r>
      <w:r>
        <w:t xml:space="preserve"> </w:t>
      </w:r>
    </w:p>
    <w:p w:rsidR="00E906E6" w:rsidRDefault="00D92AC8">
      <w:pPr>
        <w:spacing w:after="71" w:line="259" w:lineRule="auto"/>
        <w:ind w:left="14" w:firstLine="0"/>
        <w:jc w:val="left"/>
      </w:pPr>
      <w:r>
        <w:rPr>
          <w:sz w:val="20"/>
        </w:rPr>
        <w:t xml:space="preserve"> </w:t>
      </w:r>
      <w:r>
        <w:t xml:space="preserve"> </w:t>
      </w:r>
    </w:p>
    <w:p w:rsidR="00E906E6" w:rsidRDefault="00D92AC8">
      <w:pPr>
        <w:spacing w:after="63" w:line="259" w:lineRule="auto"/>
        <w:ind w:left="14" w:firstLine="0"/>
        <w:jc w:val="left"/>
      </w:pPr>
      <w:r>
        <w:rPr>
          <w:sz w:val="20"/>
        </w:rPr>
        <w:t xml:space="preserve"> </w:t>
      </w:r>
      <w:r>
        <w:t xml:space="preserve"> </w:t>
      </w:r>
    </w:p>
    <w:p w:rsidR="00E906E6" w:rsidRDefault="00D92AC8">
      <w:pPr>
        <w:spacing w:after="66" w:line="259" w:lineRule="auto"/>
        <w:ind w:left="14" w:firstLine="0"/>
        <w:jc w:val="left"/>
      </w:pPr>
      <w:r>
        <w:rPr>
          <w:sz w:val="20"/>
        </w:rPr>
        <w:t xml:space="preserve"> </w:t>
      </w:r>
      <w:r>
        <w:t xml:space="preserve"> </w:t>
      </w:r>
    </w:p>
    <w:p w:rsidR="00E906E6" w:rsidRDefault="00D92AC8">
      <w:pPr>
        <w:spacing w:after="68" w:line="259" w:lineRule="auto"/>
        <w:ind w:left="14" w:firstLine="0"/>
        <w:jc w:val="left"/>
      </w:pPr>
      <w:r>
        <w:rPr>
          <w:sz w:val="20"/>
        </w:rPr>
        <w:t xml:space="preserve"> </w:t>
      </w:r>
      <w:r>
        <w:t xml:space="preserve"> </w:t>
      </w:r>
    </w:p>
    <w:p w:rsidR="00E906E6" w:rsidRDefault="00D92AC8">
      <w:pPr>
        <w:spacing w:after="80" w:line="259" w:lineRule="auto"/>
        <w:ind w:left="14" w:firstLine="0"/>
        <w:jc w:val="left"/>
      </w:pPr>
      <w:r>
        <w:rPr>
          <w:sz w:val="20"/>
        </w:rPr>
        <w:t xml:space="preserve"> </w:t>
      </w:r>
      <w:r>
        <w:t xml:space="preserve"> </w:t>
      </w:r>
    </w:p>
    <w:p w:rsidR="00E906E6" w:rsidRDefault="00D92AC8">
      <w:pPr>
        <w:spacing w:after="75" w:line="259" w:lineRule="auto"/>
        <w:ind w:left="14" w:firstLine="0"/>
        <w:jc w:val="left"/>
      </w:pPr>
      <w:r>
        <w:rPr>
          <w:sz w:val="20"/>
        </w:rPr>
        <w:t xml:space="preserve"> </w:t>
      </w:r>
      <w:r>
        <w:t xml:space="preserve"> </w:t>
      </w:r>
    </w:p>
    <w:p w:rsidR="00E906E6" w:rsidRDefault="00D92AC8">
      <w:pPr>
        <w:spacing w:after="61" w:line="259" w:lineRule="auto"/>
        <w:ind w:left="14" w:firstLine="0"/>
        <w:jc w:val="left"/>
      </w:pPr>
      <w:r>
        <w:rPr>
          <w:sz w:val="20"/>
        </w:rPr>
        <w:t xml:space="preserve"> </w:t>
      </w:r>
      <w:r>
        <w:t xml:space="preserve"> </w:t>
      </w:r>
    </w:p>
    <w:p w:rsidR="00E906E6" w:rsidRDefault="00D92AC8">
      <w:pPr>
        <w:spacing w:after="78" w:line="259" w:lineRule="auto"/>
        <w:ind w:left="14" w:firstLine="0"/>
        <w:jc w:val="left"/>
      </w:pPr>
      <w:r>
        <w:rPr>
          <w:sz w:val="20"/>
        </w:rPr>
        <w:t xml:space="preserve"> </w:t>
      </w:r>
      <w:r>
        <w:t xml:space="preserve"> </w:t>
      </w:r>
    </w:p>
    <w:p w:rsidR="00E906E6" w:rsidRDefault="00D92AC8">
      <w:pPr>
        <w:spacing w:after="83" w:line="259" w:lineRule="auto"/>
        <w:ind w:left="14" w:firstLine="0"/>
        <w:jc w:val="left"/>
      </w:pPr>
      <w:r>
        <w:rPr>
          <w:sz w:val="20"/>
        </w:rPr>
        <w:t xml:space="preserve"> </w:t>
      </w:r>
      <w:r>
        <w:t xml:space="preserve"> </w:t>
      </w:r>
    </w:p>
    <w:p w:rsidR="00E906E6" w:rsidRDefault="00D92AC8">
      <w:pPr>
        <w:spacing w:after="115" w:line="259" w:lineRule="auto"/>
        <w:ind w:left="14" w:firstLine="0"/>
        <w:jc w:val="left"/>
      </w:pPr>
      <w:r>
        <w:rPr>
          <w:sz w:val="20"/>
        </w:rPr>
        <w:t xml:space="preserve"> </w:t>
      </w:r>
      <w:r>
        <w:t xml:space="preserve"> </w:t>
      </w:r>
    </w:p>
    <w:p w:rsidR="00E906E6" w:rsidRDefault="00D92AC8">
      <w:pPr>
        <w:numPr>
          <w:ilvl w:val="0"/>
          <w:numId w:val="1"/>
        </w:numPr>
        <w:ind w:right="829" w:hanging="432"/>
      </w:pPr>
      <w:r>
        <w:t xml:space="preserve">SANCTIONS………………………………………………………………………………..6  </w:t>
      </w:r>
    </w:p>
    <w:p w:rsidR="00E906E6" w:rsidRDefault="00D92AC8">
      <w:pPr>
        <w:spacing w:after="115" w:line="259" w:lineRule="auto"/>
        <w:ind w:left="14" w:firstLine="0"/>
        <w:jc w:val="left"/>
      </w:pPr>
      <w:r>
        <w:rPr>
          <w:sz w:val="20"/>
        </w:rPr>
        <w:t xml:space="preserve"> </w:t>
      </w:r>
      <w:r>
        <w:t xml:space="preserve"> </w:t>
      </w:r>
    </w:p>
    <w:p w:rsidR="00E906E6" w:rsidRDefault="00D92AC8">
      <w:pPr>
        <w:numPr>
          <w:ilvl w:val="0"/>
          <w:numId w:val="1"/>
        </w:numPr>
        <w:ind w:right="829" w:hanging="432"/>
      </w:pPr>
      <w:r>
        <w:t xml:space="preserve">PENALTIES………………………………………………………………………………...7  </w:t>
      </w:r>
    </w:p>
    <w:p w:rsidR="00E906E6" w:rsidRDefault="00D92AC8">
      <w:pPr>
        <w:spacing w:after="15" w:line="259" w:lineRule="auto"/>
        <w:ind w:left="14" w:firstLine="0"/>
        <w:jc w:val="left"/>
      </w:pPr>
      <w:r>
        <w:rPr>
          <w:rFonts w:ascii="Trebuchet MS" w:eastAsia="Trebuchet MS" w:hAnsi="Trebuchet MS" w:cs="Trebuchet MS"/>
        </w:rPr>
        <w:t xml:space="preserve"> </w:t>
      </w:r>
      <w:r>
        <w:t xml:space="preserve"> </w:t>
      </w:r>
    </w:p>
    <w:p w:rsidR="00E906E6" w:rsidRDefault="00D92AC8">
      <w:pPr>
        <w:spacing w:after="15" w:line="259" w:lineRule="auto"/>
        <w:ind w:left="14" w:firstLine="0"/>
        <w:jc w:val="left"/>
      </w:pPr>
      <w:r>
        <w:rPr>
          <w:rFonts w:ascii="Trebuchet MS" w:eastAsia="Trebuchet MS" w:hAnsi="Trebuchet MS" w:cs="Trebuchet MS"/>
        </w:rPr>
        <w:t xml:space="preserve"> </w:t>
      </w:r>
      <w:r>
        <w:t xml:space="preserve"> </w:t>
      </w:r>
    </w:p>
    <w:p w:rsidR="00E906E6" w:rsidRDefault="00D92AC8">
      <w:pPr>
        <w:spacing w:after="15" w:line="259" w:lineRule="auto"/>
        <w:ind w:left="14" w:firstLine="0"/>
        <w:jc w:val="left"/>
      </w:pPr>
      <w:r>
        <w:rPr>
          <w:rFonts w:ascii="Trebuchet MS" w:eastAsia="Trebuchet MS" w:hAnsi="Trebuchet MS" w:cs="Trebuchet MS"/>
        </w:rPr>
        <w:t xml:space="preserve"> </w:t>
      </w:r>
      <w:r>
        <w:t xml:space="preserve"> </w:t>
      </w:r>
    </w:p>
    <w:p w:rsidR="00E906E6" w:rsidRDefault="00D92AC8">
      <w:pPr>
        <w:spacing w:after="15" w:line="259" w:lineRule="auto"/>
        <w:ind w:left="14" w:firstLine="0"/>
        <w:jc w:val="left"/>
      </w:pPr>
      <w:r>
        <w:rPr>
          <w:rFonts w:ascii="Trebuchet MS" w:eastAsia="Trebuchet MS" w:hAnsi="Trebuchet MS" w:cs="Trebuchet MS"/>
        </w:rPr>
        <w:t xml:space="preserve"> </w:t>
      </w:r>
      <w:r>
        <w:t xml:space="preserve"> </w:t>
      </w:r>
    </w:p>
    <w:p w:rsidR="00E906E6" w:rsidRDefault="00D92AC8" w:rsidP="00AF7E3D">
      <w:pPr>
        <w:spacing w:after="16" w:line="259" w:lineRule="auto"/>
        <w:ind w:left="14" w:firstLine="0"/>
        <w:jc w:val="left"/>
      </w:pPr>
      <w:r>
        <w:rPr>
          <w:rFonts w:ascii="Trebuchet MS" w:eastAsia="Trebuchet MS" w:hAnsi="Trebuchet MS" w:cs="Trebuchet MS"/>
        </w:rPr>
        <w:lastRenderedPageBreak/>
        <w:t xml:space="preserve"> </w:t>
      </w:r>
      <w:r>
        <w:t xml:space="preserve"> </w:t>
      </w:r>
      <w:bookmarkStart w:id="0" w:name="_GoBack"/>
      <w:bookmarkEnd w:id="0"/>
    </w:p>
    <w:p w:rsidR="00E906E6" w:rsidRDefault="00D92AC8">
      <w:pPr>
        <w:spacing w:after="0" w:line="259" w:lineRule="auto"/>
        <w:ind w:left="245"/>
        <w:jc w:val="left"/>
      </w:pPr>
      <w:r>
        <w:rPr>
          <w:b/>
          <w:sz w:val="28"/>
        </w:rPr>
        <w:t xml:space="preserve">FOOD AND DRUGS AUTHORITY GUIDELINE FOR REGISTRATION </w:t>
      </w:r>
    </w:p>
    <w:p w:rsidR="00E906E6" w:rsidRDefault="00D92AC8">
      <w:pPr>
        <w:spacing w:after="1" w:line="259" w:lineRule="auto"/>
        <w:ind w:left="10" w:right="833"/>
        <w:jc w:val="center"/>
      </w:pPr>
      <w:r>
        <w:rPr>
          <w:b/>
          <w:sz w:val="28"/>
        </w:rPr>
        <w:t>OF HOMEOPATHIC MEDICINES</w:t>
      </w:r>
      <w:r>
        <w:rPr>
          <w:sz w:val="28"/>
        </w:rPr>
        <w:t xml:space="preserve"> </w:t>
      </w:r>
      <w:r>
        <w:t xml:space="preserve"> </w:t>
      </w:r>
    </w:p>
    <w:p w:rsidR="00E906E6" w:rsidRDefault="00D92AC8">
      <w:pPr>
        <w:pStyle w:val="Heading1"/>
        <w:spacing w:after="1"/>
        <w:ind w:left="720" w:right="833" w:hanging="720"/>
        <w:jc w:val="center"/>
      </w:pPr>
      <w:bookmarkStart w:id="1" w:name="_Toc8996"/>
      <w:r>
        <w:t xml:space="preserve">SCOPE  </w:t>
      </w:r>
      <w:bookmarkEnd w:id="1"/>
    </w:p>
    <w:p w:rsidR="00E906E6" w:rsidRDefault="00D92AC8">
      <w:pPr>
        <w:spacing w:after="9" w:line="259" w:lineRule="auto"/>
        <w:ind w:left="0" w:right="653" w:firstLine="0"/>
        <w:jc w:val="center"/>
      </w:pPr>
      <w:r>
        <w:rPr>
          <w:b/>
        </w:rPr>
        <w:t xml:space="preserve"> </w:t>
      </w:r>
      <w:r>
        <w:t xml:space="preserve"> </w:t>
      </w:r>
    </w:p>
    <w:p w:rsidR="00E906E6" w:rsidRDefault="00D92AC8">
      <w:pPr>
        <w:spacing w:after="21" w:line="259" w:lineRule="auto"/>
        <w:ind w:left="14" w:firstLine="0"/>
        <w:jc w:val="left"/>
      </w:pPr>
      <w:r>
        <w:t xml:space="preserve">  </w:t>
      </w:r>
    </w:p>
    <w:p w:rsidR="00E906E6" w:rsidRDefault="00D92AC8">
      <w:pPr>
        <w:spacing w:after="0" w:line="259" w:lineRule="auto"/>
        <w:ind w:left="14" w:firstLine="0"/>
        <w:jc w:val="left"/>
      </w:pPr>
      <w:r>
        <w:rPr>
          <w:b/>
        </w:rPr>
        <w:t xml:space="preserve"> </w:t>
      </w:r>
      <w:r>
        <w:t xml:space="preserve"> </w:t>
      </w:r>
    </w:p>
    <w:p w:rsidR="00E906E6" w:rsidRDefault="00D92AC8">
      <w:pPr>
        <w:ind w:left="24" w:right="829"/>
      </w:pPr>
      <w:r>
        <w:t>In pursuance of Section 118 of the Public Health Act 2012, Act 851, this guideline is made to provide guidance to applicants on the procedure for registering Homeopathic Medicines in Ghana. Applicants are encouraged to familiarize themselves with this docu</w:t>
      </w:r>
      <w:r>
        <w:t xml:space="preserve">ment and the above law before completing the registration form.  </w:t>
      </w:r>
    </w:p>
    <w:p w:rsidR="00E906E6" w:rsidRDefault="00D92AC8">
      <w:pPr>
        <w:spacing w:after="64" w:line="259" w:lineRule="auto"/>
        <w:ind w:left="14" w:firstLine="0"/>
        <w:jc w:val="left"/>
      </w:pPr>
      <w:r>
        <w:t xml:space="preserve">  </w:t>
      </w:r>
    </w:p>
    <w:p w:rsidR="00E906E6" w:rsidRDefault="00D92AC8">
      <w:pPr>
        <w:pStyle w:val="Heading1"/>
        <w:ind w:left="705" w:hanging="720"/>
      </w:pPr>
      <w:bookmarkStart w:id="2" w:name="_Toc8997"/>
      <w:r>
        <w:t xml:space="preserve">INTERPRETATION  </w:t>
      </w:r>
      <w:bookmarkEnd w:id="2"/>
    </w:p>
    <w:p w:rsidR="00E906E6" w:rsidRDefault="00D92AC8">
      <w:pPr>
        <w:spacing w:after="0" w:line="259" w:lineRule="auto"/>
        <w:ind w:left="14" w:firstLine="0"/>
        <w:jc w:val="left"/>
      </w:pPr>
      <w:r>
        <w:t xml:space="preserve">  </w:t>
      </w:r>
    </w:p>
    <w:p w:rsidR="00E906E6" w:rsidRDefault="00D92AC8">
      <w:pPr>
        <w:ind w:left="24" w:right="829"/>
      </w:pPr>
      <w:r>
        <w:t xml:space="preserve">In this guideline, unless the context otherwise states: -  </w:t>
      </w:r>
    </w:p>
    <w:p w:rsidR="00E906E6" w:rsidRDefault="00D92AC8">
      <w:pPr>
        <w:spacing w:after="34" w:line="259" w:lineRule="auto"/>
        <w:ind w:left="14" w:firstLine="0"/>
        <w:jc w:val="left"/>
      </w:pPr>
      <w:r>
        <w:t xml:space="preserve">  </w:t>
      </w:r>
    </w:p>
    <w:p w:rsidR="00E906E6" w:rsidRDefault="00D92AC8">
      <w:pPr>
        <w:ind w:left="384" w:right="829"/>
      </w:pPr>
      <w:r>
        <w:t>“</w:t>
      </w:r>
      <w:r>
        <w:rPr>
          <w:b/>
        </w:rPr>
        <w:t>Authority</w:t>
      </w:r>
      <w:r>
        <w:t xml:space="preserve">” means Food and Drugs Authority  </w:t>
      </w:r>
    </w:p>
    <w:p w:rsidR="00E906E6" w:rsidRDefault="00D92AC8">
      <w:pPr>
        <w:spacing w:line="259" w:lineRule="auto"/>
        <w:ind w:left="14" w:firstLine="0"/>
        <w:jc w:val="left"/>
      </w:pPr>
      <w:r>
        <w:t xml:space="preserve">  </w:t>
      </w:r>
    </w:p>
    <w:p w:rsidR="00E906E6" w:rsidRDefault="00D92AC8">
      <w:pPr>
        <w:ind w:left="384" w:right="829"/>
      </w:pPr>
      <w:r>
        <w:rPr>
          <w:b/>
        </w:rPr>
        <w:t>“Product”</w:t>
      </w:r>
      <w:r>
        <w:t xml:space="preserve"> means – </w:t>
      </w:r>
      <w:r>
        <w:t xml:space="preserve">a Homeopathic Medicine.  </w:t>
      </w:r>
    </w:p>
    <w:p w:rsidR="00E906E6" w:rsidRDefault="00D92AC8">
      <w:pPr>
        <w:spacing w:after="4" w:line="259" w:lineRule="auto"/>
        <w:ind w:left="931" w:firstLine="0"/>
        <w:jc w:val="left"/>
      </w:pPr>
      <w:r>
        <w:t xml:space="preserve">  </w:t>
      </w:r>
    </w:p>
    <w:p w:rsidR="00E906E6" w:rsidRDefault="00D92AC8">
      <w:pPr>
        <w:ind w:left="384" w:right="829"/>
      </w:pPr>
      <w:r>
        <w:t>“</w:t>
      </w:r>
      <w:r>
        <w:rPr>
          <w:b/>
        </w:rPr>
        <w:t>Applicant”</w:t>
      </w:r>
      <w:r>
        <w:t xml:space="preserve"> means the product owner or </w:t>
      </w:r>
      <w:proofErr w:type="spellStart"/>
      <w:r>
        <w:t>licence</w:t>
      </w:r>
      <w:proofErr w:type="spellEnd"/>
      <w:r>
        <w:t xml:space="preserve"> holder. Representatives of </w:t>
      </w:r>
      <w:proofErr w:type="spellStart"/>
      <w:r>
        <w:t>licence</w:t>
      </w:r>
      <w:proofErr w:type="spellEnd"/>
      <w:r>
        <w:t xml:space="preserve"> holders may not hold themselves as applicants unless they own the product.  </w:t>
      </w:r>
    </w:p>
    <w:p w:rsidR="00E906E6" w:rsidRDefault="00D92AC8">
      <w:pPr>
        <w:spacing w:after="0" w:line="259" w:lineRule="auto"/>
        <w:ind w:left="931" w:firstLine="0"/>
        <w:jc w:val="left"/>
      </w:pPr>
      <w:r>
        <w:t xml:space="preserve">  </w:t>
      </w:r>
    </w:p>
    <w:p w:rsidR="00E906E6" w:rsidRDefault="00D92AC8">
      <w:pPr>
        <w:spacing w:after="0" w:line="266" w:lineRule="auto"/>
        <w:ind w:left="384"/>
        <w:jc w:val="left"/>
      </w:pPr>
      <w:r>
        <w:rPr>
          <w:b/>
        </w:rPr>
        <w:t>Homeopathic Medicine</w:t>
      </w:r>
      <w:r>
        <w:t xml:space="preserve"> refers to:   </w:t>
      </w:r>
    </w:p>
    <w:p w:rsidR="00E906E6" w:rsidRDefault="00D92AC8">
      <w:pPr>
        <w:spacing w:after="1" w:line="259" w:lineRule="auto"/>
        <w:ind w:left="14" w:firstLine="0"/>
        <w:jc w:val="left"/>
      </w:pPr>
      <w:r>
        <w:t xml:space="preserve">  </w:t>
      </w:r>
    </w:p>
    <w:p w:rsidR="00E906E6" w:rsidRDefault="00D92AC8">
      <w:pPr>
        <w:numPr>
          <w:ilvl w:val="0"/>
          <w:numId w:val="2"/>
        </w:numPr>
        <w:ind w:right="829" w:hanging="581"/>
      </w:pPr>
      <w:r>
        <w:t>A substance that can be att</w:t>
      </w:r>
      <w:r>
        <w:t xml:space="preserve">enuated to render it stronger as the potency increases and at the same time that the original substance is diluted.  </w:t>
      </w:r>
    </w:p>
    <w:p w:rsidR="00E906E6" w:rsidRDefault="00D92AC8">
      <w:pPr>
        <w:spacing w:after="0" w:line="259" w:lineRule="auto"/>
        <w:ind w:left="734" w:firstLine="0"/>
        <w:jc w:val="left"/>
      </w:pPr>
      <w:r>
        <w:t xml:space="preserve">  </w:t>
      </w:r>
    </w:p>
    <w:p w:rsidR="00E906E6" w:rsidRDefault="00D92AC8">
      <w:pPr>
        <w:ind w:left="744" w:right="829"/>
      </w:pPr>
      <w:r>
        <w:t xml:space="preserve">Or  </w:t>
      </w:r>
    </w:p>
    <w:p w:rsidR="00E906E6" w:rsidRDefault="00D92AC8">
      <w:pPr>
        <w:spacing w:after="1" w:line="259" w:lineRule="auto"/>
        <w:ind w:left="734" w:firstLine="0"/>
        <w:jc w:val="left"/>
      </w:pPr>
      <w:r>
        <w:t xml:space="preserve">  </w:t>
      </w:r>
    </w:p>
    <w:p w:rsidR="00E906E6" w:rsidRDefault="00D92AC8">
      <w:pPr>
        <w:numPr>
          <w:ilvl w:val="0"/>
          <w:numId w:val="2"/>
        </w:numPr>
        <w:ind w:right="829" w:hanging="581"/>
      </w:pPr>
      <w:r>
        <w:t xml:space="preserve">A substance that can cause certain symptoms in a healthy person and can be used to relieve those symptoms in any other person suffering from those symptoms.  </w:t>
      </w:r>
    </w:p>
    <w:p w:rsidR="00E906E6" w:rsidRDefault="00D92AC8">
      <w:pPr>
        <w:spacing w:after="0" w:line="259" w:lineRule="auto"/>
        <w:ind w:left="14" w:firstLine="0"/>
        <w:jc w:val="left"/>
      </w:pPr>
      <w:r>
        <w:t xml:space="preserve"> </w:t>
      </w:r>
    </w:p>
    <w:p w:rsidR="00E906E6" w:rsidRDefault="00D92AC8">
      <w:pPr>
        <w:ind w:left="384" w:right="829"/>
      </w:pPr>
      <w:r>
        <w:rPr>
          <w:b/>
        </w:rPr>
        <w:t>Homeopathy</w:t>
      </w:r>
      <w:r>
        <w:t>: means an alternative system of medicine based on the concept that diseases can be c</w:t>
      </w:r>
      <w:r>
        <w:t xml:space="preserve">ured when a patient is treated with minute quantities of a substance that produces symptoms of the diseases on a healthy person.   </w:t>
      </w:r>
    </w:p>
    <w:p w:rsidR="00E906E6" w:rsidRDefault="00D92AC8">
      <w:pPr>
        <w:spacing w:after="0" w:line="259" w:lineRule="auto"/>
        <w:ind w:left="734" w:firstLine="0"/>
        <w:jc w:val="left"/>
      </w:pPr>
      <w:r>
        <w:t xml:space="preserve">  </w:t>
      </w:r>
    </w:p>
    <w:p w:rsidR="00E906E6" w:rsidRDefault="00D92AC8">
      <w:pPr>
        <w:ind w:left="744" w:right="829"/>
      </w:pPr>
      <w:r>
        <w:t xml:space="preserve">For a product to meet the criteria for a homeopathic medicine, a product must be:   </w:t>
      </w:r>
    </w:p>
    <w:p w:rsidR="00E906E6" w:rsidRDefault="00D92AC8">
      <w:pPr>
        <w:spacing w:after="1" w:line="259" w:lineRule="auto"/>
        <w:ind w:left="734" w:firstLine="0"/>
        <w:jc w:val="left"/>
      </w:pPr>
      <w:r>
        <w:t xml:space="preserve">  </w:t>
      </w:r>
    </w:p>
    <w:p w:rsidR="00E906E6" w:rsidRDefault="00D92AC8">
      <w:pPr>
        <w:spacing w:after="1" w:line="237" w:lineRule="auto"/>
        <w:ind w:left="734" w:right="849" w:hanging="360"/>
        <w:jc w:val="left"/>
      </w:pPr>
      <w:r>
        <w:rPr>
          <w:rFonts w:ascii="Wingdings" w:eastAsia="Wingdings" w:hAnsi="Wingdings" w:cs="Wingdings"/>
        </w:rPr>
        <w:lastRenderedPageBreak/>
        <w:t>➢</w:t>
      </w:r>
      <w:r>
        <w:rPr>
          <w:rFonts w:ascii="Arial" w:eastAsia="Arial" w:hAnsi="Arial" w:cs="Arial"/>
        </w:rPr>
        <w:t xml:space="preserve"> </w:t>
      </w:r>
      <w:r>
        <w:t>Manufactured from, or contain a</w:t>
      </w:r>
      <w:r>
        <w:t xml:space="preserve">s medicinal ingredients, only substances referenced in a homeopathic monograph in one of the following homeopathic pharmacopoeia, as they are amended from time to time:   </w:t>
      </w:r>
    </w:p>
    <w:p w:rsidR="00E906E6" w:rsidRDefault="00D92AC8">
      <w:pPr>
        <w:spacing w:after="4" w:line="259" w:lineRule="auto"/>
        <w:ind w:left="734" w:firstLine="0"/>
        <w:jc w:val="left"/>
      </w:pPr>
      <w:r>
        <w:t xml:space="preserve">  </w:t>
      </w:r>
    </w:p>
    <w:p w:rsidR="00E906E6" w:rsidRDefault="00D92AC8">
      <w:pPr>
        <w:numPr>
          <w:ilvl w:val="0"/>
          <w:numId w:val="3"/>
        </w:numPr>
        <w:spacing w:after="1" w:line="260" w:lineRule="auto"/>
        <w:ind w:right="829" w:hanging="360"/>
        <w:jc w:val="left"/>
      </w:pPr>
      <w:r>
        <w:rPr>
          <w:i/>
        </w:rPr>
        <w:t xml:space="preserve">Homeopathic Pharmacopoeia of the United States </w:t>
      </w:r>
      <w:r>
        <w:t xml:space="preserve">(HPUS);   </w:t>
      </w:r>
    </w:p>
    <w:p w:rsidR="00E906E6" w:rsidRDefault="00D92AC8">
      <w:pPr>
        <w:numPr>
          <w:ilvl w:val="0"/>
          <w:numId w:val="3"/>
        </w:numPr>
        <w:ind w:right="829" w:hanging="360"/>
        <w:jc w:val="left"/>
      </w:pPr>
      <w:proofErr w:type="spellStart"/>
      <w:r>
        <w:rPr>
          <w:i/>
        </w:rPr>
        <w:t>Homöopathische</w:t>
      </w:r>
      <w:proofErr w:type="spellEnd"/>
      <w:r>
        <w:rPr>
          <w:i/>
        </w:rPr>
        <w:t xml:space="preserve"> </w:t>
      </w:r>
      <w:proofErr w:type="spellStart"/>
      <w:r>
        <w:rPr>
          <w:i/>
        </w:rPr>
        <w:t>Arzneibuch</w:t>
      </w:r>
      <w:proofErr w:type="spellEnd"/>
      <w:r>
        <w:rPr>
          <w:i/>
        </w:rPr>
        <w:t xml:space="preserve"> </w:t>
      </w:r>
      <w:r>
        <w:t xml:space="preserve">(German Homeopathic Pharmacopoeia)(HAB)  </w:t>
      </w:r>
    </w:p>
    <w:p w:rsidR="00E906E6" w:rsidRDefault="00D92AC8">
      <w:pPr>
        <w:numPr>
          <w:ilvl w:val="0"/>
          <w:numId w:val="3"/>
        </w:numPr>
        <w:ind w:right="829" w:hanging="360"/>
        <w:jc w:val="left"/>
      </w:pPr>
      <w:proofErr w:type="spellStart"/>
      <w:r>
        <w:rPr>
          <w:i/>
        </w:rPr>
        <w:t>Pharmacopée</w:t>
      </w:r>
      <w:proofErr w:type="spellEnd"/>
      <w:r>
        <w:rPr>
          <w:i/>
        </w:rPr>
        <w:t xml:space="preserve"> </w:t>
      </w:r>
      <w:proofErr w:type="spellStart"/>
      <w:r>
        <w:rPr>
          <w:i/>
        </w:rPr>
        <w:t>française</w:t>
      </w:r>
      <w:proofErr w:type="spellEnd"/>
      <w:r>
        <w:rPr>
          <w:i/>
        </w:rPr>
        <w:t xml:space="preserve"> </w:t>
      </w:r>
      <w:r>
        <w:t>(French Pharmacopoeia) (</w:t>
      </w:r>
      <w:proofErr w:type="spellStart"/>
      <w:r>
        <w:t>PhF</w:t>
      </w:r>
      <w:proofErr w:type="spellEnd"/>
      <w:r>
        <w:t xml:space="preserve">)   </w:t>
      </w:r>
    </w:p>
    <w:p w:rsidR="00E906E6" w:rsidRDefault="00D92AC8">
      <w:pPr>
        <w:numPr>
          <w:ilvl w:val="0"/>
          <w:numId w:val="3"/>
        </w:numPr>
        <w:spacing w:after="1" w:line="260" w:lineRule="auto"/>
        <w:ind w:right="829" w:hanging="360"/>
        <w:jc w:val="left"/>
      </w:pPr>
      <w:r>
        <w:rPr>
          <w:i/>
        </w:rPr>
        <w:t xml:space="preserve">European Pharmacopoeia </w:t>
      </w:r>
      <w:r>
        <w:t xml:space="preserve">(Eur. Pharm.)  </w:t>
      </w:r>
      <w:r>
        <w:rPr>
          <w:rFonts w:ascii="Trebuchet MS" w:eastAsia="Trebuchet MS" w:hAnsi="Trebuchet MS" w:cs="Trebuchet MS"/>
        </w:rPr>
        <w:t>•</w:t>
      </w:r>
      <w:r>
        <w:rPr>
          <w:rFonts w:ascii="Arial" w:eastAsia="Arial" w:hAnsi="Arial" w:cs="Arial"/>
        </w:rPr>
        <w:t xml:space="preserve"> </w:t>
      </w:r>
      <w:r>
        <w:rPr>
          <w:i/>
        </w:rPr>
        <w:t xml:space="preserve">British Homeopathic Pharmacopoeia </w:t>
      </w:r>
      <w:r>
        <w:t xml:space="preserve">(BHP)  </w:t>
      </w:r>
    </w:p>
    <w:p w:rsidR="00E906E6" w:rsidRDefault="00D92AC8">
      <w:pPr>
        <w:numPr>
          <w:ilvl w:val="0"/>
          <w:numId w:val="3"/>
        </w:numPr>
        <w:spacing w:after="1" w:line="260" w:lineRule="auto"/>
        <w:ind w:right="829" w:hanging="360"/>
        <w:jc w:val="left"/>
      </w:pPr>
      <w:r>
        <w:rPr>
          <w:i/>
        </w:rPr>
        <w:t>Indian Homeopathic Pharmacopoeia</w:t>
      </w:r>
      <w:r>
        <w:t xml:space="preserve">.   </w:t>
      </w:r>
    </w:p>
    <w:p w:rsidR="00E906E6" w:rsidRDefault="00D92AC8">
      <w:pPr>
        <w:spacing w:after="1" w:line="259" w:lineRule="auto"/>
        <w:ind w:left="14" w:firstLine="0"/>
        <w:jc w:val="left"/>
      </w:pPr>
      <w:r>
        <w:t xml:space="preserve">  </w:t>
      </w:r>
    </w:p>
    <w:p w:rsidR="00E906E6" w:rsidRDefault="00D92AC8">
      <w:pPr>
        <w:ind w:left="734" w:right="829" w:hanging="360"/>
      </w:pPr>
      <w:r>
        <w:rPr>
          <w:rFonts w:ascii="Wingdings" w:eastAsia="Wingdings" w:hAnsi="Wingdings" w:cs="Wingdings"/>
        </w:rPr>
        <w:t>➢</w:t>
      </w:r>
      <w:r>
        <w:rPr>
          <w:rFonts w:ascii="Arial" w:eastAsia="Arial" w:hAnsi="Arial" w:cs="Arial"/>
        </w:rPr>
        <w:t xml:space="preserve"> </w:t>
      </w:r>
      <w:r>
        <w:t>Prepared in accordance with the methods outlined in one of the above-mentioned homeopathic pharmacopoeia, as they are amended from time to time.</w:t>
      </w:r>
      <w:r>
        <w:rPr>
          <w:b/>
        </w:rPr>
        <w:t xml:space="preserve"> </w:t>
      </w:r>
      <w:r>
        <w:t xml:space="preserve"> </w:t>
      </w:r>
    </w:p>
    <w:p w:rsidR="00E906E6" w:rsidRDefault="00D92AC8">
      <w:pPr>
        <w:spacing w:after="0" w:line="259" w:lineRule="auto"/>
        <w:ind w:left="14" w:firstLine="0"/>
        <w:jc w:val="left"/>
      </w:pPr>
      <w:r>
        <w:t xml:space="preserve">  </w:t>
      </w:r>
    </w:p>
    <w:p w:rsidR="00E906E6" w:rsidRDefault="00D92AC8">
      <w:pPr>
        <w:spacing w:after="59" w:line="259" w:lineRule="auto"/>
        <w:ind w:left="14" w:firstLine="0"/>
        <w:jc w:val="left"/>
      </w:pPr>
      <w:r>
        <w:rPr>
          <w:b/>
        </w:rPr>
        <w:t xml:space="preserve"> </w:t>
      </w:r>
      <w:r>
        <w:t xml:space="preserve"> </w:t>
      </w:r>
    </w:p>
    <w:p w:rsidR="00E906E6" w:rsidRDefault="00D92AC8">
      <w:pPr>
        <w:pStyle w:val="Heading1"/>
        <w:spacing w:after="205"/>
        <w:ind w:left="705" w:hanging="720"/>
      </w:pPr>
      <w:bookmarkStart w:id="3" w:name="_Toc8998"/>
      <w:r>
        <w:t xml:space="preserve">REQUIREMENT  </w:t>
      </w:r>
      <w:bookmarkEnd w:id="3"/>
    </w:p>
    <w:p w:rsidR="00E906E6" w:rsidRDefault="00D92AC8">
      <w:pPr>
        <w:pStyle w:val="Heading2"/>
        <w:spacing w:after="187"/>
        <w:ind w:left="705" w:hanging="720"/>
      </w:pPr>
      <w:bookmarkStart w:id="4" w:name="_Toc8999"/>
      <w:r>
        <w:t xml:space="preserve">GENERAL REQUIREMENTS  </w:t>
      </w:r>
      <w:bookmarkEnd w:id="4"/>
    </w:p>
    <w:p w:rsidR="00E906E6" w:rsidRDefault="00D92AC8">
      <w:pPr>
        <w:pStyle w:val="Heading3"/>
        <w:ind w:left="-5"/>
      </w:pPr>
      <w:r>
        <w:t xml:space="preserve">Registration  </w:t>
      </w:r>
    </w:p>
    <w:p w:rsidR="00E906E6" w:rsidRDefault="00D92AC8">
      <w:pPr>
        <w:spacing w:after="1" w:line="259" w:lineRule="auto"/>
        <w:ind w:left="14" w:firstLine="0"/>
        <w:jc w:val="left"/>
      </w:pPr>
      <w:r>
        <w:rPr>
          <w:b/>
        </w:rPr>
        <w:t xml:space="preserve"> </w:t>
      </w:r>
      <w:r>
        <w:t xml:space="preserve"> </w:t>
      </w:r>
    </w:p>
    <w:p w:rsidR="00E906E6" w:rsidRDefault="00D92AC8">
      <w:pPr>
        <w:numPr>
          <w:ilvl w:val="0"/>
          <w:numId w:val="4"/>
        </w:numPr>
        <w:ind w:right="829" w:hanging="360"/>
      </w:pPr>
      <w:r>
        <w:t xml:space="preserve">An application for the registration of Homeopathic medicine product shall be made in writing.  </w:t>
      </w:r>
    </w:p>
    <w:p w:rsidR="00E906E6" w:rsidRDefault="00D92AC8">
      <w:pPr>
        <w:numPr>
          <w:ilvl w:val="0"/>
          <w:numId w:val="4"/>
        </w:numPr>
        <w:ind w:right="829" w:hanging="360"/>
      </w:pPr>
      <w:r>
        <w:t xml:space="preserve">An application form shall be completed in accordance with the sequence of appendices dated, signed and stamped by the applicant/license holder.  </w:t>
      </w:r>
    </w:p>
    <w:p w:rsidR="00E906E6" w:rsidRDefault="00D92AC8">
      <w:pPr>
        <w:spacing w:after="0" w:line="259" w:lineRule="auto"/>
        <w:ind w:left="14" w:firstLine="0"/>
        <w:jc w:val="left"/>
      </w:pPr>
      <w:r>
        <w:t xml:space="preserve">  </w:t>
      </w:r>
    </w:p>
    <w:p w:rsidR="00E906E6" w:rsidRDefault="00D92AC8">
      <w:pPr>
        <w:pStyle w:val="Heading3"/>
        <w:ind w:left="-5"/>
      </w:pPr>
      <w:r>
        <w:t>All certifi</w:t>
      </w:r>
      <w:r>
        <w:t xml:space="preserve">cates accompanying registration documents shall be submitted in English  </w:t>
      </w:r>
    </w:p>
    <w:p w:rsidR="00E906E6" w:rsidRDefault="00D92AC8">
      <w:pPr>
        <w:spacing w:after="1" w:line="259" w:lineRule="auto"/>
        <w:ind w:left="14" w:firstLine="0"/>
        <w:jc w:val="left"/>
      </w:pPr>
      <w:r>
        <w:rPr>
          <w:b/>
        </w:rPr>
        <w:t xml:space="preserve"> </w:t>
      </w:r>
      <w:r>
        <w:t xml:space="preserve"> </w:t>
      </w:r>
    </w:p>
    <w:p w:rsidR="00E906E6" w:rsidRDefault="00D92AC8">
      <w:pPr>
        <w:ind w:left="384" w:right="829"/>
      </w:pPr>
      <w:r>
        <w:t>c.</w:t>
      </w:r>
      <w:r>
        <w:rPr>
          <w:rFonts w:ascii="Arial" w:eastAsia="Arial" w:hAnsi="Arial" w:cs="Arial"/>
        </w:rPr>
        <w:t xml:space="preserve"> </w:t>
      </w:r>
      <w:r>
        <w:t xml:space="preserve">This shall be submitted in duplicate(hard and (or) soft copy) and accompanied by:  </w:t>
      </w:r>
    </w:p>
    <w:p w:rsidR="00E906E6" w:rsidRDefault="00D92AC8">
      <w:pPr>
        <w:spacing w:after="23" w:line="259" w:lineRule="auto"/>
        <w:ind w:left="734" w:firstLine="0"/>
        <w:jc w:val="left"/>
      </w:pPr>
      <w:r>
        <w:t xml:space="preserve">  </w:t>
      </w:r>
    </w:p>
    <w:p w:rsidR="00E906E6" w:rsidRDefault="00D92AC8">
      <w:pPr>
        <w:numPr>
          <w:ilvl w:val="0"/>
          <w:numId w:val="5"/>
        </w:numPr>
        <w:spacing w:after="324"/>
        <w:ind w:right="829" w:hanging="660"/>
      </w:pPr>
      <w:r>
        <w:t xml:space="preserve">A covering letter addressed to the CEO of the Authority,   </w:t>
      </w:r>
    </w:p>
    <w:p w:rsidR="00E906E6" w:rsidRDefault="00D92AC8">
      <w:pPr>
        <w:numPr>
          <w:ilvl w:val="0"/>
          <w:numId w:val="5"/>
        </w:numPr>
        <w:spacing w:after="305"/>
        <w:ind w:right="829" w:hanging="660"/>
      </w:pPr>
      <w:r>
        <w:t>Samples of the product as spe</w:t>
      </w:r>
      <w:r>
        <w:t xml:space="preserve">cified in the Authority’s samples Schedule, packed in the final package ready for sale.  </w:t>
      </w:r>
    </w:p>
    <w:p w:rsidR="00E906E6" w:rsidRDefault="00D92AC8">
      <w:pPr>
        <w:numPr>
          <w:ilvl w:val="0"/>
          <w:numId w:val="5"/>
        </w:numPr>
        <w:spacing w:after="232"/>
        <w:ind w:right="829" w:hanging="660"/>
      </w:pPr>
      <w:r>
        <w:t xml:space="preserve">A non-refundable fee prescribed in the Authority’s approved fees Schedule.  </w:t>
      </w:r>
    </w:p>
    <w:p w:rsidR="00E906E6" w:rsidRDefault="00D92AC8">
      <w:pPr>
        <w:spacing w:after="0" w:line="259" w:lineRule="auto"/>
        <w:ind w:left="74" w:firstLine="0"/>
        <w:jc w:val="left"/>
      </w:pPr>
      <w:r>
        <w:t xml:space="preserve"> </w:t>
      </w:r>
    </w:p>
    <w:p w:rsidR="00E906E6" w:rsidRDefault="00D92AC8">
      <w:pPr>
        <w:pStyle w:val="Heading3"/>
        <w:ind w:left="-5"/>
      </w:pPr>
      <w:r>
        <w:t xml:space="preserve">Registration Variation  </w:t>
      </w:r>
    </w:p>
    <w:p w:rsidR="00E906E6" w:rsidRDefault="00D92AC8">
      <w:pPr>
        <w:spacing w:after="1" w:line="259" w:lineRule="auto"/>
        <w:ind w:left="14" w:firstLine="0"/>
        <w:jc w:val="left"/>
      </w:pPr>
      <w:r>
        <w:rPr>
          <w:b/>
        </w:rPr>
        <w:t xml:space="preserve"> </w:t>
      </w:r>
      <w:r>
        <w:t xml:space="preserve"> </w:t>
      </w:r>
    </w:p>
    <w:p w:rsidR="00E906E6" w:rsidRDefault="00D92AC8">
      <w:pPr>
        <w:numPr>
          <w:ilvl w:val="0"/>
          <w:numId w:val="6"/>
        </w:numPr>
        <w:spacing w:after="33" w:line="237" w:lineRule="auto"/>
        <w:ind w:right="839" w:hanging="360"/>
        <w:jc w:val="left"/>
      </w:pPr>
      <w:r>
        <w:t xml:space="preserve">An application for the variation of registration of a product prior to re-registration shall be made to the Authority. This variation shall be approved by the Authority before any importation of the product shall be made into the country.   </w:t>
      </w:r>
    </w:p>
    <w:p w:rsidR="00E906E6" w:rsidRDefault="00D92AC8">
      <w:pPr>
        <w:spacing w:after="1" w:line="259" w:lineRule="auto"/>
        <w:ind w:left="14" w:firstLine="0"/>
        <w:jc w:val="left"/>
      </w:pPr>
      <w:r>
        <w:t xml:space="preserve">  </w:t>
      </w:r>
    </w:p>
    <w:p w:rsidR="00E906E6" w:rsidRDefault="00D92AC8">
      <w:pPr>
        <w:numPr>
          <w:ilvl w:val="0"/>
          <w:numId w:val="6"/>
        </w:numPr>
        <w:ind w:right="839" w:hanging="360"/>
        <w:jc w:val="left"/>
      </w:pPr>
      <w:r>
        <w:lastRenderedPageBreak/>
        <w:t>The applica</w:t>
      </w:r>
      <w:r>
        <w:t xml:space="preserve">tion shall be accompanied by:  </w:t>
      </w:r>
    </w:p>
    <w:p w:rsidR="00E906E6" w:rsidRDefault="00D92AC8">
      <w:pPr>
        <w:spacing w:after="1" w:line="259" w:lineRule="auto"/>
        <w:ind w:left="14" w:firstLine="0"/>
        <w:jc w:val="left"/>
      </w:pPr>
      <w:r>
        <w:t xml:space="preserve">  </w:t>
      </w:r>
    </w:p>
    <w:p w:rsidR="00E906E6" w:rsidRDefault="00D92AC8">
      <w:pPr>
        <w:numPr>
          <w:ilvl w:val="0"/>
          <w:numId w:val="7"/>
        </w:numPr>
        <w:spacing w:after="329"/>
        <w:ind w:right="987" w:hanging="660"/>
      </w:pPr>
      <w:r>
        <w:t xml:space="preserve">Supporting documentation for the variation.  </w:t>
      </w:r>
    </w:p>
    <w:p w:rsidR="00E906E6" w:rsidRDefault="00D92AC8">
      <w:pPr>
        <w:numPr>
          <w:ilvl w:val="0"/>
          <w:numId w:val="7"/>
        </w:numPr>
        <w:spacing w:after="230"/>
        <w:ind w:right="987" w:hanging="660"/>
      </w:pPr>
      <w:r>
        <w:t>Samples reflecting the variation as specified in the Authority’s samples Schedule.  III.</w:t>
      </w:r>
      <w:r>
        <w:rPr>
          <w:rFonts w:ascii="Arial" w:eastAsia="Arial" w:hAnsi="Arial" w:cs="Arial"/>
        </w:rPr>
        <w:t xml:space="preserve"> </w:t>
      </w:r>
      <w:r>
        <w:rPr>
          <w:rFonts w:ascii="Arial" w:eastAsia="Arial" w:hAnsi="Arial" w:cs="Arial"/>
        </w:rPr>
        <w:tab/>
      </w:r>
      <w:r>
        <w:t xml:space="preserve">Non-refundable variation fee as specified in Authority’s approved fees Schedule  </w:t>
      </w:r>
    </w:p>
    <w:p w:rsidR="00E906E6" w:rsidRDefault="00D92AC8">
      <w:pPr>
        <w:spacing w:after="0" w:line="259" w:lineRule="auto"/>
        <w:ind w:left="14" w:firstLine="0"/>
        <w:jc w:val="left"/>
      </w:pPr>
      <w:r>
        <w:rPr>
          <w:b/>
        </w:rPr>
        <w:t xml:space="preserve"> </w:t>
      </w:r>
      <w:r>
        <w:t xml:space="preserve"> </w:t>
      </w:r>
    </w:p>
    <w:p w:rsidR="00E906E6" w:rsidRDefault="00D92AC8">
      <w:pPr>
        <w:pStyle w:val="Heading3"/>
        <w:ind w:left="-5"/>
      </w:pPr>
      <w:r>
        <w:t xml:space="preserve">Re-Registration  </w:t>
      </w:r>
    </w:p>
    <w:p w:rsidR="00E906E6" w:rsidRDefault="00D92AC8">
      <w:pPr>
        <w:spacing w:after="1" w:line="259" w:lineRule="auto"/>
        <w:ind w:left="14" w:firstLine="0"/>
        <w:jc w:val="left"/>
      </w:pPr>
      <w:r>
        <w:rPr>
          <w:b/>
        </w:rPr>
        <w:t xml:space="preserve"> </w:t>
      </w:r>
      <w:r>
        <w:t xml:space="preserve"> </w:t>
      </w:r>
    </w:p>
    <w:p w:rsidR="00E906E6" w:rsidRDefault="00D92AC8">
      <w:pPr>
        <w:numPr>
          <w:ilvl w:val="0"/>
          <w:numId w:val="8"/>
        </w:numPr>
        <w:ind w:right="829" w:hanging="360"/>
      </w:pPr>
      <w:r>
        <w:t>An application for the re-</w:t>
      </w:r>
      <w:r>
        <w:t xml:space="preserve">registration of Homeopathic medicine product should be made 3 (three) months before the expiration of the registration.  </w:t>
      </w:r>
    </w:p>
    <w:p w:rsidR="00E906E6" w:rsidRDefault="00D92AC8">
      <w:pPr>
        <w:spacing w:after="1" w:line="259" w:lineRule="auto"/>
        <w:ind w:left="734" w:firstLine="0"/>
        <w:jc w:val="left"/>
      </w:pPr>
      <w:r>
        <w:t xml:space="preserve">  </w:t>
      </w:r>
    </w:p>
    <w:p w:rsidR="00E906E6" w:rsidRDefault="00D92AC8">
      <w:pPr>
        <w:numPr>
          <w:ilvl w:val="0"/>
          <w:numId w:val="8"/>
        </w:numPr>
        <w:ind w:right="829" w:hanging="360"/>
      </w:pPr>
      <w:r>
        <w:t xml:space="preserve">The application shall be accompanied by:  </w:t>
      </w:r>
    </w:p>
    <w:p w:rsidR="00E906E6" w:rsidRDefault="00D92AC8">
      <w:pPr>
        <w:spacing w:after="3" w:line="259" w:lineRule="auto"/>
        <w:ind w:left="14" w:firstLine="0"/>
        <w:jc w:val="left"/>
      </w:pPr>
      <w:r>
        <w:t xml:space="preserve">  </w:t>
      </w:r>
    </w:p>
    <w:p w:rsidR="00E906E6" w:rsidRDefault="00D92AC8">
      <w:pPr>
        <w:numPr>
          <w:ilvl w:val="0"/>
          <w:numId w:val="9"/>
        </w:numPr>
        <w:spacing w:after="330"/>
        <w:ind w:right="829" w:hanging="660"/>
      </w:pPr>
      <w:r>
        <w:t xml:space="preserve">Supporting documentation for any changes since the product was last registered  </w:t>
      </w:r>
    </w:p>
    <w:p w:rsidR="00E906E6" w:rsidRDefault="00D92AC8">
      <w:pPr>
        <w:numPr>
          <w:ilvl w:val="0"/>
          <w:numId w:val="9"/>
        </w:numPr>
        <w:spacing w:after="320"/>
        <w:ind w:right="829" w:hanging="660"/>
      </w:pPr>
      <w:r>
        <w:t xml:space="preserve">Samples as specified in the Authority’s Sample Schedule.  </w:t>
      </w:r>
    </w:p>
    <w:p w:rsidR="00E906E6" w:rsidRDefault="00D92AC8">
      <w:pPr>
        <w:numPr>
          <w:ilvl w:val="0"/>
          <w:numId w:val="9"/>
        </w:numPr>
        <w:spacing w:after="234"/>
        <w:ind w:right="829" w:hanging="660"/>
      </w:pPr>
      <w:r>
        <w:t xml:space="preserve">A non-refundable application fee as specified in the Authority’s Fee Schedule.  </w:t>
      </w:r>
    </w:p>
    <w:p w:rsidR="00E906E6" w:rsidRDefault="00D92AC8">
      <w:pPr>
        <w:spacing w:after="27" w:line="259" w:lineRule="auto"/>
        <w:ind w:left="14" w:firstLine="0"/>
        <w:jc w:val="left"/>
      </w:pPr>
      <w:r>
        <w:t xml:space="preserve">  </w:t>
      </w:r>
    </w:p>
    <w:p w:rsidR="00E906E6" w:rsidRDefault="00D92AC8">
      <w:pPr>
        <w:pStyle w:val="Heading2"/>
        <w:ind w:left="705" w:hanging="720"/>
      </w:pPr>
      <w:bookmarkStart w:id="5" w:name="_Toc9000"/>
      <w:r>
        <w:t xml:space="preserve">SPECIFIC REQUIREMENTS  </w:t>
      </w:r>
      <w:bookmarkEnd w:id="5"/>
    </w:p>
    <w:p w:rsidR="00E906E6" w:rsidRDefault="00D92AC8">
      <w:pPr>
        <w:spacing w:after="1" w:line="259" w:lineRule="auto"/>
        <w:ind w:left="14" w:firstLine="0"/>
        <w:jc w:val="left"/>
      </w:pPr>
      <w:r>
        <w:t xml:space="preserve">  </w:t>
      </w:r>
    </w:p>
    <w:p w:rsidR="00E906E6" w:rsidRDefault="00D92AC8">
      <w:pPr>
        <w:ind w:left="734" w:right="829" w:hanging="720"/>
      </w:pPr>
      <w:r>
        <w:t>3.2.1</w:t>
      </w:r>
      <w:r>
        <w:t>.</w:t>
      </w:r>
      <w:r>
        <w:rPr>
          <w:rFonts w:ascii="Arial" w:eastAsia="Arial" w:hAnsi="Arial" w:cs="Arial"/>
        </w:rPr>
        <w:t xml:space="preserve"> </w:t>
      </w:r>
      <w:r>
        <w:t xml:space="preserve">The presentation of the product shall not have any resemblance in spelling and pronunciation of name or packaging to another product that has been previously registered by the Authority.  </w:t>
      </w:r>
    </w:p>
    <w:p w:rsidR="00E906E6" w:rsidRDefault="00D92AC8">
      <w:pPr>
        <w:spacing w:after="1" w:line="259" w:lineRule="auto"/>
        <w:ind w:left="14" w:firstLine="0"/>
        <w:jc w:val="left"/>
      </w:pPr>
      <w:r>
        <w:t xml:space="preserve">  </w:t>
      </w:r>
    </w:p>
    <w:p w:rsidR="00E906E6" w:rsidRDefault="00D92AC8">
      <w:pPr>
        <w:ind w:left="734" w:right="829" w:hanging="720"/>
      </w:pPr>
      <w:r>
        <w:t>3.2.2.</w:t>
      </w:r>
      <w:r>
        <w:rPr>
          <w:rFonts w:ascii="Arial" w:eastAsia="Arial" w:hAnsi="Arial" w:cs="Arial"/>
        </w:rPr>
        <w:t xml:space="preserve"> </w:t>
      </w:r>
      <w:r>
        <w:t>All samples of oral liquid preparations (solutions, syr</w:t>
      </w:r>
      <w:r>
        <w:t xml:space="preserve">ups) shall have an appropriate graduated plastic measure included in the final package.  </w:t>
      </w:r>
    </w:p>
    <w:p w:rsidR="00E906E6" w:rsidRDefault="00D92AC8">
      <w:pPr>
        <w:spacing w:after="1" w:line="259" w:lineRule="auto"/>
        <w:ind w:left="14" w:firstLine="0"/>
        <w:jc w:val="left"/>
      </w:pPr>
      <w:r>
        <w:t xml:space="preserve">  </w:t>
      </w:r>
    </w:p>
    <w:p w:rsidR="00E906E6" w:rsidRDefault="00D92AC8">
      <w:pPr>
        <w:ind w:left="734" w:right="829" w:hanging="720"/>
      </w:pPr>
      <w:r>
        <w:t>3.2.3.</w:t>
      </w:r>
      <w:r>
        <w:rPr>
          <w:rFonts w:ascii="Arial" w:eastAsia="Arial" w:hAnsi="Arial" w:cs="Arial"/>
        </w:rPr>
        <w:t xml:space="preserve"> </w:t>
      </w:r>
      <w:r>
        <w:t>All samples submitted shall conform to labelling regulations in force in Ghana (</w:t>
      </w:r>
      <w:r>
        <w:rPr>
          <w:i/>
        </w:rPr>
        <w:t>Refer to Food and Drugs Authority Guidelines for Labeling of Products</w:t>
      </w:r>
      <w:r>
        <w:t xml:space="preserve">).  </w:t>
      </w:r>
    </w:p>
    <w:p w:rsidR="00E906E6" w:rsidRDefault="00D92AC8">
      <w:pPr>
        <w:spacing w:after="3" w:line="259" w:lineRule="auto"/>
        <w:ind w:left="14" w:firstLine="0"/>
        <w:jc w:val="left"/>
      </w:pPr>
      <w:r>
        <w:t xml:space="preserve">  </w:t>
      </w:r>
    </w:p>
    <w:p w:rsidR="00E906E6" w:rsidRDefault="00D92AC8">
      <w:pPr>
        <w:ind w:left="734" w:right="829" w:hanging="720"/>
      </w:pPr>
      <w:r>
        <w:t>3.2.4.</w:t>
      </w:r>
      <w:r>
        <w:rPr>
          <w:rFonts w:ascii="Arial" w:eastAsia="Arial" w:hAnsi="Arial" w:cs="Arial"/>
        </w:rPr>
        <w:t xml:space="preserve"> </w:t>
      </w:r>
      <w:r>
        <w:t xml:space="preserve">If the product is manufactured on contract basis, evidence of the contract shall be submitted. This information shall be clearly stated on the product label and package insert.  </w:t>
      </w:r>
    </w:p>
    <w:p w:rsidR="00E906E6" w:rsidRDefault="00D92AC8">
      <w:pPr>
        <w:spacing w:after="0" w:line="259" w:lineRule="auto"/>
        <w:ind w:left="74" w:firstLine="0"/>
        <w:jc w:val="left"/>
      </w:pPr>
      <w:r>
        <w:t xml:space="preserve"> </w:t>
      </w:r>
    </w:p>
    <w:p w:rsidR="00E906E6" w:rsidRDefault="00D92AC8">
      <w:pPr>
        <w:pStyle w:val="Heading2"/>
        <w:ind w:left="735" w:hanging="629"/>
      </w:pPr>
      <w:bookmarkStart w:id="6" w:name="_Toc9001"/>
      <w:r>
        <w:t xml:space="preserve">QUALITY SPECIFICATIONS   </w:t>
      </w:r>
      <w:bookmarkEnd w:id="6"/>
    </w:p>
    <w:p w:rsidR="00E906E6" w:rsidRDefault="00D92AC8">
      <w:pPr>
        <w:spacing w:after="0" w:line="259" w:lineRule="auto"/>
        <w:ind w:left="14" w:firstLine="0"/>
        <w:jc w:val="left"/>
      </w:pPr>
      <w:r>
        <w:rPr>
          <w:b/>
        </w:rPr>
        <w:t xml:space="preserve"> </w:t>
      </w:r>
      <w:r>
        <w:t xml:space="preserve"> </w:t>
      </w:r>
    </w:p>
    <w:p w:rsidR="00E906E6" w:rsidRDefault="00D92AC8">
      <w:pPr>
        <w:ind w:left="24" w:right="829"/>
      </w:pPr>
      <w:r>
        <w:t xml:space="preserve">The quality requirements for homeopathic medicines should include specifications for the following:   </w:t>
      </w:r>
    </w:p>
    <w:p w:rsidR="00E906E6" w:rsidRDefault="00D92AC8">
      <w:pPr>
        <w:spacing w:after="24" w:line="259" w:lineRule="auto"/>
        <w:ind w:left="14" w:firstLine="0"/>
        <w:jc w:val="left"/>
      </w:pPr>
      <w:r>
        <w:t xml:space="preserve">  </w:t>
      </w:r>
    </w:p>
    <w:p w:rsidR="00E906E6" w:rsidRDefault="00D92AC8">
      <w:pPr>
        <w:numPr>
          <w:ilvl w:val="0"/>
          <w:numId w:val="10"/>
        </w:numPr>
        <w:ind w:right="829" w:hanging="146"/>
      </w:pPr>
      <w:r>
        <w:lastRenderedPageBreak/>
        <w:t xml:space="preserve">Identity (prior to dilution);   </w:t>
      </w:r>
    </w:p>
    <w:p w:rsidR="00E906E6" w:rsidRDefault="00D92AC8">
      <w:pPr>
        <w:numPr>
          <w:ilvl w:val="0"/>
          <w:numId w:val="10"/>
        </w:numPr>
        <w:ind w:right="829" w:hanging="146"/>
      </w:pPr>
      <w:r>
        <w:t xml:space="preserve">Microbial purity (at the finished product stage);   </w:t>
      </w:r>
    </w:p>
    <w:p w:rsidR="00E906E6" w:rsidRDefault="00D92AC8">
      <w:pPr>
        <w:numPr>
          <w:ilvl w:val="0"/>
          <w:numId w:val="10"/>
        </w:numPr>
        <w:ind w:right="829" w:hanging="146"/>
      </w:pPr>
      <w:r>
        <w:t>Chemical purity (not required if the medicinal ingredients are d</w:t>
      </w:r>
      <w:r>
        <w:t xml:space="preserve">iluted 2X or above).   </w:t>
      </w:r>
    </w:p>
    <w:p w:rsidR="00E906E6" w:rsidRDefault="00D92AC8">
      <w:pPr>
        <w:spacing w:after="0" w:line="259" w:lineRule="auto"/>
        <w:ind w:left="14" w:firstLine="0"/>
        <w:jc w:val="left"/>
      </w:pPr>
      <w:r>
        <w:t xml:space="preserve">  </w:t>
      </w:r>
    </w:p>
    <w:p w:rsidR="00E906E6" w:rsidRDefault="00D92AC8">
      <w:pPr>
        <w:ind w:left="24" w:right="829"/>
      </w:pPr>
      <w:r>
        <w:t xml:space="preserve">Applicants are required to provide the specifications details at the raw material and/or at the finished product stage as outlined below.   </w:t>
      </w:r>
    </w:p>
    <w:p w:rsidR="00E906E6" w:rsidRDefault="00D92AC8">
      <w:pPr>
        <w:spacing w:after="23" w:line="259" w:lineRule="auto"/>
        <w:ind w:left="14" w:firstLine="0"/>
        <w:jc w:val="left"/>
      </w:pPr>
      <w:r>
        <w:rPr>
          <w:b/>
        </w:rPr>
        <w:t xml:space="preserve"> </w:t>
      </w:r>
      <w:r>
        <w:t xml:space="preserve"> </w:t>
      </w:r>
    </w:p>
    <w:p w:rsidR="00E906E6" w:rsidRDefault="00D92AC8">
      <w:pPr>
        <w:pStyle w:val="Heading2"/>
        <w:ind w:left="705" w:hanging="720"/>
      </w:pPr>
      <w:bookmarkStart w:id="7" w:name="_Toc9002"/>
      <w:r>
        <w:t xml:space="preserve">IDENTIFICATION </w:t>
      </w:r>
      <w:r>
        <w:rPr>
          <w:b w:val="0"/>
        </w:rPr>
        <w:t xml:space="preserve"> </w:t>
      </w:r>
      <w:r>
        <w:t xml:space="preserve"> </w:t>
      </w:r>
      <w:bookmarkEnd w:id="7"/>
    </w:p>
    <w:p w:rsidR="00E906E6" w:rsidRDefault="00D92AC8">
      <w:pPr>
        <w:spacing w:after="0" w:line="259" w:lineRule="auto"/>
        <w:ind w:left="14" w:firstLine="0"/>
        <w:jc w:val="left"/>
      </w:pPr>
      <w:r>
        <w:t xml:space="preserve">  </w:t>
      </w:r>
    </w:p>
    <w:p w:rsidR="00E906E6" w:rsidRDefault="00D92AC8">
      <w:pPr>
        <w:spacing w:after="1" w:line="237" w:lineRule="auto"/>
        <w:ind w:left="5" w:right="849" w:hanging="20"/>
        <w:jc w:val="left"/>
      </w:pPr>
      <w:r>
        <w:t xml:space="preserve">Identification of the medicinal ingredients should be conducted at the raw material stage as outlined in </w:t>
      </w:r>
      <w:proofErr w:type="spellStart"/>
      <w:r>
        <w:t>pharmacopoeial</w:t>
      </w:r>
      <w:proofErr w:type="spellEnd"/>
      <w:r>
        <w:t xml:space="preserve"> monographs listed under reference section of this document. The medicinal ingredients used in the product should be identified at the ra</w:t>
      </w:r>
      <w:r>
        <w:t xml:space="preserve">w material stage by identification tests such as chromatographic methods (High Performance Thin Layer Chromatography (HPTLC), HPLC, or GC), or spectroscopic methods and/or any other applicable chemical identification test.   </w:t>
      </w:r>
    </w:p>
    <w:p w:rsidR="00E906E6" w:rsidRDefault="00D92AC8">
      <w:pPr>
        <w:spacing w:after="25" w:line="259" w:lineRule="auto"/>
        <w:ind w:left="14" w:firstLine="0"/>
        <w:jc w:val="left"/>
      </w:pPr>
      <w:r>
        <w:rPr>
          <w:b/>
        </w:rPr>
        <w:t xml:space="preserve"> </w:t>
      </w:r>
      <w:r>
        <w:t xml:space="preserve"> </w:t>
      </w:r>
    </w:p>
    <w:p w:rsidR="00E906E6" w:rsidRDefault="00D92AC8">
      <w:pPr>
        <w:pStyle w:val="Heading2"/>
        <w:ind w:left="705" w:hanging="720"/>
      </w:pPr>
      <w:bookmarkStart w:id="8" w:name="_Toc9003"/>
      <w:r>
        <w:t>MICROBIAL TESTING</w:t>
      </w:r>
      <w:r>
        <w:rPr>
          <w:b w:val="0"/>
        </w:rPr>
        <w:t xml:space="preserve"> </w:t>
      </w:r>
      <w:r>
        <w:t xml:space="preserve"> </w:t>
      </w:r>
      <w:bookmarkEnd w:id="8"/>
    </w:p>
    <w:p w:rsidR="00E906E6" w:rsidRDefault="00D92AC8">
      <w:pPr>
        <w:spacing w:after="0" w:line="259" w:lineRule="auto"/>
        <w:ind w:left="14" w:firstLine="0"/>
        <w:jc w:val="left"/>
      </w:pPr>
      <w:r>
        <w:t xml:space="preserve">  </w:t>
      </w:r>
    </w:p>
    <w:p w:rsidR="00E906E6" w:rsidRDefault="00D92AC8">
      <w:pPr>
        <w:spacing w:after="1" w:line="237" w:lineRule="auto"/>
        <w:ind w:left="5" w:right="849" w:hanging="20"/>
        <w:jc w:val="left"/>
      </w:pPr>
      <w:r>
        <w:t xml:space="preserve">Homeopathic medicines should be tested for microbiological contaminants at the finished product stage. Each medicinal ingredient used in the product should also be tested for the chemical contaminants at the raw material stage.   </w:t>
      </w:r>
    </w:p>
    <w:p w:rsidR="00E906E6" w:rsidRDefault="00D92AC8">
      <w:pPr>
        <w:spacing w:after="30" w:line="259" w:lineRule="auto"/>
        <w:ind w:left="14" w:firstLine="0"/>
        <w:jc w:val="left"/>
      </w:pPr>
      <w:r>
        <w:t xml:space="preserve">  </w:t>
      </w:r>
    </w:p>
    <w:p w:rsidR="00E906E6" w:rsidRDefault="00D92AC8">
      <w:pPr>
        <w:pStyle w:val="Heading2"/>
        <w:ind w:left="705" w:hanging="720"/>
      </w:pPr>
      <w:bookmarkStart w:id="9" w:name="_Toc9004"/>
      <w:r>
        <w:t>MICROBIAL CONTAMINANTS</w:t>
      </w:r>
      <w:r>
        <w:t xml:space="preserve"> </w:t>
      </w:r>
      <w:r>
        <w:rPr>
          <w:b w:val="0"/>
        </w:rPr>
        <w:t xml:space="preserve"> </w:t>
      </w:r>
      <w:r>
        <w:t xml:space="preserve"> </w:t>
      </w:r>
      <w:bookmarkEnd w:id="9"/>
    </w:p>
    <w:p w:rsidR="00E906E6" w:rsidRDefault="00D92AC8">
      <w:pPr>
        <w:spacing w:after="0" w:line="259" w:lineRule="auto"/>
        <w:ind w:left="14" w:firstLine="0"/>
        <w:jc w:val="left"/>
      </w:pPr>
      <w:r>
        <w:t xml:space="preserve">  </w:t>
      </w:r>
    </w:p>
    <w:p w:rsidR="00E906E6" w:rsidRDefault="00D92AC8">
      <w:pPr>
        <w:ind w:left="24" w:right="829"/>
      </w:pPr>
      <w:r>
        <w:t xml:space="preserve">Microbial testing is required at the finished product stage. When ethanol is not present, or the ethanol content is less than 50%, microbial testing is required on a lot-by-lot basis.  </w:t>
      </w:r>
    </w:p>
    <w:p w:rsidR="00E906E6" w:rsidRDefault="00D92AC8">
      <w:pPr>
        <w:spacing w:after="30" w:line="259" w:lineRule="auto"/>
        <w:ind w:left="14" w:firstLine="0"/>
        <w:jc w:val="left"/>
      </w:pPr>
      <w:r>
        <w:t xml:space="preserve">  </w:t>
      </w:r>
    </w:p>
    <w:p w:rsidR="00E906E6" w:rsidRDefault="00D92AC8">
      <w:pPr>
        <w:pStyle w:val="Heading2"/>
        <w:ind w:left="705" w:hanging="720"/>
      </w:pPr>
      <w:bookmarkStart w:id="10" w:name="_Toc9005"/>
      <w:r>
        <w:t xml:space="preserve">CHEMICAL CONTAMINANTS </w:t>
      </w:r>
      <w:r>
        <w:rPr>
          <w:b w:val="0"/>
        </w:rPr>
        <w:t xml:space="preserve"> </w:t>
      </w:r>
      <w:r>
        <w:t xml:space="preserve"> </w:t>
      </w:r>
      <w:bookmarkEnd w:id="10"/>
    </w:p>
    <w:p w:rsidR="00E906E6" w:rsidRDefault="00D92AC8">
      <w:pPr>
        <w:spacing w:after="0" w:line="259" w:lineRule="auto"/>
        <w:ind w:left="14" w:firstLine="0"/>
        <w:jc w:val="left"/>
      </w:pPr>
      <w:r>
        <w:t xml:space="preserve">  </w:t>
      </w:r>
    </w:p>
    <w:p w:rsidR="00E906E6" w:rsidRDefault="00D92AC8">
      <w:pPr>
        <w:spacing w:after="1" w:line="237" w:lineRule="auto"/>
        <w:ind w:left="5" w:right="849" w:hanging="20"/>
        <w:jc w:val="left"/>
      </w:pPr>
      <w:r>
        <w:t>Each medicinal ingredient used i</w:t>
      </w:r>
      <w:r>
        <w:t xml:space="preserve">n the product must also be tested for the chemical contaminants at the raw material stage. Chemical contaminant testing at the raw material stage is not required for homeopathic potencies of 1 CH (2X) or higher because at this dilution level, under normal </w:t>
      </w:r>
      <w:r>
        <w:t xml:space="preserve">circumstances, any contaminants will be sufficiently diluted to fall within safety parameters.  </w:t>
      </w:r>
    </w:p>
    <w:p w:rsidR="00E906E6" w:rsidRDefault="00D92AC8">
      <w:pPr>
        <w:ind w:left="24" w:right="829"/>
      </w:pPr>
      <w:r>
        <w:t xml:space="preserve">Testing of chemical contaminants is not required if the medicinal ingredient is diluted above 2X. Otherwise, testing of these should be performed as stated.   </w:t>
      </w:r>
    </w:p>
    <w:p w:rsidR="00E906E6" w:rsidRDefault="00D92AC8">
      <w:pPr>
        <w:spacing w:after="0" w:line="259" w:lineRule="auto"/>
        <w:ind w:left="14" w:firstLine="0"/>
        <w:jc w:val="left"/>
      </w:pPr>
      <w:r>
        <w:rPr>
          <w:sz w:val="28"/>
        </w:rPr>
        <w:t xml:space="preserve"> </w:t>
      </w:r>
      <w:r>
        <w:t xml:space="preserve"> </w:t>
      </w:r>
    </w:p>
    <w:p w:rsidR="00E906E6" w:rsidRDefault="00D92AC8">
      <w:pPr>
        <w:pStyle w:val="Heading2"/>
        <w:ind w:left="705" w:hanging="720"/>
      </w:pPr>
      <w:bookmarkStart w:id="11" w:name="_Toc9006"/>
      <w:r>
        <w:t xml:space="preserve">HEAVY METAL  </w:t>
      </w:r>
      <w:bookmarkEnd w:id="11"/>
    </w:p>
    <w:p w:rsidR="00E906E6" w:rsidRDefault="00D92AC8">
      <w:pPr>
        <w:spacing w:after="0" w:line="259" w:lineRule="auto"/>
        <w:ind w:left="14" w:firstLine="0"/>
        <w:jc w:val="left"/>
      </w:pPr>
      <w:r>
        <w:rPr>
          <w:b/>
        </w:rPr>
        <w:t xml:space="preserve"> </w:t>
      </w:r>
    </w:p>
    <w:p w:rsidR="00E906E6" w:rsidRDefault="00D92AC8">
      <w:pPr>
        <w:spacing w:after="1" w:line="237" w:lineRule="auto"/>
        <w:ind w:left="5" w:right="849" w:hanging="20"/>
        <w:jc w:val="left"/>
      </w:pPr>
      <w:r>
        <w:t xml:space="preserve">Heavy metal tests are not required when the medicinal ingredient is a heavy metal itself. For example, if mercury is the medicinal ingredient, the raw material does not need to be tested for mercury.   </w:t>
      </w:r>
    </w:p>
    <w:p w:rsidR="00E906E6" w:rsidRDefault="00D92AC8">
      <w:pPr>
        <w:spacing w:after="1" w:line="259" w:lineRule="auto"/>
        <w:ind w:left="14" w:firstLine="0"/>
        <w:jc w:val="left"/>
      </w:pPr>
      <w:r>
        <w:t xml:space="preserve">  </w:t>
      </w:r>
    </w:p>
    <w:p w:rsidR="00E906E6" w:rsidRDefault="00D92AC8">
      <w:pPr>
        <w:tabs>
          <w:tab w:val="center" w:pos="2984"/>
        </w:tabs>
        <w:ind w:left="0" w:firstLine="0"/>
        <w:jc w:val="left"/>
      </w:pPr>
      <w:r>
        <w:rPr>
          <w:b/>
        </w:rPr>
        <w:t>4.0</w:t>
      </w:r>
      <w:r>
        <w:rPr>
          <w:rFonts w:ascii="Arial" w:eastAsia="Arial" w:hAnsi="Arial" w:cs="Arial"/>
          <w:b/>
        </w:rPr>
        <w:t xml:space="preserve">  </w:t>
      </w:r>
      <w:r>
        <w:rPr>
          <w:rFonts w:ascii="Arial" w:eastAsia="Arial" w:hAnsi="Arial" w:cs="Arial"/>
          <w:b/>
        </w:rPr>
        <w:tab/>
      </w:r>
      <w:r>
        <w:t xml:space="preserve">  </w:t>
      </w:r>
      <w:r>
        <w:rPr>
          <w:b/>
        </w:rPr>
        <w:t>The Authority</w:t>
      </w:r>
      <w:r>
        <w:t xml:space="preserve"> in considering an application:  </w:t>
      </w:r>
    </w:p>
    <w:p w:rsidR="00E906E6" w:rsidRDefault="00D92AC8">
      <w:pPr>
        <w:spacing w:after="1" w:line="259" w:lineRule="auto"/>
        <w:ind w:left="14" w:firstLine="0"/>
        <w:jc w:val="left"/>
      </w:pPr>
      <w:r>
        <w:lastRenderedPageBreak/>
        <w:t xml:space="preserve">  </w:t>
      </w:r>
    </w:p>
    <w:p w:rsidR="00E906E6" w:rsidRDefault="00D92AC8">
      <w:pPr>
        <w:numPr>
          <w:ilvl w:val="0"/>
          <w:numId w:val="11"/>
        </w:numPr>
        <w:ind w:right="829" w:hanging="360"/>
      </w:pPr>
      <w:r>
        <w:t xml:space="preserve">shall satisfy itself that there is the need to have the product registered in Ghana.  </w:t>
      </w:r>
    </w:p>
    <w:p w:rsidR="00E906E6" w:rsidRDefault="00D92AC8">
      <w:pPr>
        <w:spacing w:after="0" w:line="259" w:lineRule="auto"/>
        <w:ind w:left="14" w:firstLine="0"/>
        <w:jc w:val="left"/>
      </w:pPr>
      <w:r>
        <w:t xml:space="preserve">  </w:t>
      </w:r>
    </w:p>
    <w:p w:rsidR="00E906E6" w:rsidRDefault="00D92AC8">
      <w:pPr>
        <w:spacing w:after="1" w:line="259" w:lineRule="auto"/>
        <w:ind w:left="1073" w:firstLine="0"/>
        <w:jc w:val="left"/>
      </w:pPr>
      <w:r>
        <w:t xml:space="preserve">  </w:t>
      </w:r>
    </w:p>
    <w:p w:rsidR="00E906E6" w:rsidRDefault="00D92AC8">
      <w:pPr>
        <w:numPr>
          <w:ilvl w:val="0"/>
          <w:numId w:val="11"/>
        </w:numPr>
        <w:ind w:right="829" w:hanging="360"/>
      </w:pPr>
      <w:r>
        <w:t xml:space="preserve">reserves the right to conduct a Good Manufacturing Practice (GMP) audit inspection on the manufacturing facility </w:t>
      </w:r>
      <w:r>
        <w:t xml:space="preserve">for the product at a fee prescribed by the Authority.  </w:t>
      </w:r>
    </w:p>
    <w:p w:rsidR="00E906E6" w:rsidRDefault="00D92AC8">
      <w:pPr>
        <w:spacing w:after="1" w:line="259" w:lineRule="auto"/>
        <w:ind w:left="1433" w:firstLine="0"/>
        <w:jc w:val="left"/>
      </w:pPr>
      <w:r>
        <w:t xml:space="preserve">  </w:t>
      </w:r>
    </w:p>
    <w:p w:rsidR="00E906E6" w:rsidRDefault="00D92AC8">
      <w:pPr>
        <w:numPr>
          <w:ilvl w:val="0"/>
          <w:numId w:val="11"/>
        </w:numPr>
        <w:ind w:right="829" w:hanging="360"/>
      </w:pPr>
      <w:r>
        <w:t xml:space="preserve">may ask the applicant to supply such other information as may be required to enable it reach a decision on the application.  </w:t>
      </w:r>
    </w:p>
    <w:p w:rsidR="00E906E6" w:rsidRDefault="00D92AC8">
      <w:pPr>
        <w:spacing w:after="1" w:line="259" w:lineRule="auto"/>
        <w:ind w:left="14" w:firstLine="0"/>
        <w:jc w:val="left"/>
      </w:pPr>
      <w:r>
        <w:t xml:space="preserve">  </w:t>
      </w:r>
    </w:p>
    <w:p w:rsidR="00E906E6" w:rsidRDefault="00D92AC8">
      <w:pPr>
        <w:numPr>
          <w:ilvl w:val="0"/>
          <w:numId w:val="12"/>
        </w:numPr>
        <w:ind w:right="829" w:hanging="672"/>
      </w:pPr>
      <w:r>
        <w:t>An appeal for the review of an application may be made in writing to</w:t>
      </w:r>
      <w:r>
        <w:t xml:space="preserve"> the Minister of Health within thirty (30) days of receipt of the rejection notice.  </w:t>
      </w:r>
    </w:p>
    <w:p w:rsidR="00E906E6" w:rsidRDefault="00D92AC8">
      <w:pPr>
        <w:spacing w:after="1" w:line="259" w:lineRule="auto"/>
        <w:ind w:left="14" w:firstLine="0"/>
        <w:jc w:val="left"/>
      </w:pPr>
      <w:r>
        <w:t xml:space="preserve">  </w:t>
      </w:r>
    </w:p>
    <w:p w:rsidR="00E906E6" w:rsidRDefault="00D92AC8">
      <w:pPr>
        <w:numPr>
          <w:ilvl w:val="0"/>
          <w:numId w:val="12"/>
        </w:numPr>
        <w:ind w:right="829" w:hanging="672"/>
      </w:pPr>
      <w:r>
        <w:t>Where the Authority is satisfied that there is the need to register a product and all requirements for its registration have been satisfied, it shall do so and issue t</w:t>
      </w:r>
      <w:r>
        <w:t xml:space="preserve">o the applicant a certificate of registration, subject to such conditions as may be prescribed by the Authority from time to time.  </w:t>
      </w:r>
    </w:p>
    <w:p w:rsidR="00E906E6" w:rsidRDefault="00D92AC8">
      <w:pPr>
        <w:spacing w:after="1" w:line="259" w:lineRule="auto"/>
        <w:ind w:left="14" w:firstLine="0"/>
        <w:jc w:val="left"/>
      </w:pPr>
      <w:r>
        <w:t xml:space="preserve">  </w:t>
      </w:r>
    </w:p>
    <w:p w:rsidR="00E906E6" w:rsidRDefault="00D92AC8">
      <w:pPr>
        <w:numPr>
          <w:ilvl w:val="0"/>
          <w:numId w:val="12"/>
        </w:numPr>
        <w:ind w:right="829" w:hanging="672"/>
      </w:pPr>
      <w:r>
        <w:t>The registration of a product under these regulations, unless otherwise revoked, shall be valid for a period of three (3</w:t>
      </w:r>
      <w:r>
        <w:t xml:space="preserve">) years and may be renewed.  </w:t>
      </w:r>
    </w:p>
    <w:p w:rsidR="00E906E6" w:rsidRDefault="00D92AC8">
      <w:pPr>
        <w:spacing w:after="1" w:line="259" w:lineRule="auto"/>
        <w:ind w:left="14" w:firstLine="0"/>
        <w:jc w:val="left"/>
      </w:pPr>
      <w:r>
        <w:t xml:space="preserve">  </w:t>
      </w:r>
    </w:p>
    <w:p w:rsidR="00E906E6" w:rsidRDefault="00D92AC8">
      <w:pPr>
        <w:numPr>
          <w:ilvl w:val="0"/>
          <w:numId w:val="12"/>
        </w:numPr>
        <w:ind w:right="829" w:hanging="672"/>
      </w:pPr>
      <w:r>
        <w:t xml:space="preserve">No information given in this application shall be disclosed by the Food and Drugs Authority to a third party except:-  </w:t>
      </w:r>
    </w:p>
    <w:p w:rsidR="00E906E6" w:rsidRDefault="00D92AC8">
      <w:pPr>
        <w:spacing w:after="1" w:line="259" w:lineRule="auto"/>
        <w:ind w:left="14" w:firstLine="0"/>
        <w:jc w:val="left"/>
      </w:pPr>
      <w:r>
        <w:t xml:space="preserve">  </w:t>
      </w:r>
    </w:p>
    <w:p w:rsidR="00E906E6" w:rsidRDefault="00D92AC8">
      <w:pPr>
        <w:numPr>
          <w:ilvl w:val="3"/>
          <w:numId w:val="13"/>
        </w:numPr>
        <w:ind w:right="829" w:hanging="360"/>
      </w:pPr>
      <w:r>
        <w:t xml:space="preserve">with the written consent of the </w:t>
      </w:r>
      <w:proofErr w:type="spellStart"/>
      <w:r>
        <w:t>licence</w:t>
      </w:r>
      <w:proofErr w:type="spellEnd"/>
      <w:r>
        <w:t xml:space="preserve"> holder; or  </w:t>
      </w:r>
    </w:p>
    <w:p w:rsidR="00E906E6" w:rsidRDefault="00D92AC8">
      <w:pPr>
        <w:spacing w:after="3" w:line="259" w:lineRule="auto"/>
        <w:ind w:left="1433" w:firstLine="0"/>
        <w:jc w:val="left"/>
      </w:pPr>
      <w:r>
        <w:t xml:space="preserve">  </w:t>
      </w:r>
    </w:p>
    <w:p w:rsidR="00E906E6" w:rsidRDefault="00D92AC8">
      <w:pPr>
        <w:numPr>
          <w:ilvl w:val="3"/>
          <w:numId w:val="13"/>
        </w:numPr>
        <w:ind w:right="829" w:hanging="360"/>
      </w:pPr>
      <w:r>
        <w:t xml:space="preserve">in accordance with the directive of the Directors of FDA; or  </w:t>
      </w:r>
    </w:p>
    <w:p w:rsidR="00E906E6" w:rsidRDefault="00D92AC8">
      <w:pPr>
        <w:spacing w:after="1" w:line="259" w:lineRule="auto"/>
        <w:ind w:left="1433" w:firstLine="0"/>
        <w:jc w:val="left"/>
      </w:pPr>
      <w:r>
        <w:t xml:space="preserve">  </w:t>
      </w:r>
    </w:p>
    <w:p w:rsidR="00E906E6" w:rsidRDefault="00D92AC8">
      <w:pPr>
        <w:numPr>
          <w:ilvl w:val="3"/>
          <w:numId w:val="13"/>
        </w:numPr>
        <w:ind w:right="829" w:hanging="360"/>
      </w:pPr>
      <w:r>
        <w:t>for the pur</w:t>
      </w:r>
      <w:r>
        <w:t xml:space="preserve">pose of a legal process under the Public Health Act 2012, Act 851  </w:t>
      </w:r>
    </w:p>
    <w:p w:rsidR="00E906E6" w:rsidRDefault="00D92AC8">
      <w:pPr>
        <w:spacing w:after="1" w:line="259" w:lineRule="auto"/>
        <w:ind w:left="14" w:firstLine="0"/>
        <w:jc w:val="left"/>
      </w:pPr>
      <w:r>
        <w:t xml:space="preserve">  </w:t>
      </w:r>
    </w:p>
    <w:p w:rsidR="00E906E6" w:rsidRDefault="00D92AC8">
      <w:pPr>
        <w:tabs>
          <w:tab w:val="center" w:pos="4643"/>
        </w:tabs>
        <w:ind w:left="0" w:firstLine="0"/>
        <w:jc w:val="left"/>
      </w:pPr>
      <w:r>
        <w:rPr>
          <w:b/>
        </w:rPr>
        <w:t>5.0</w:t>
      </w:r>
      <w:r>
        <w:rPr>
          <w:rFonts w:ascii="Arial" w:eastAsia="Arial" w:hAnsi="Arial" w:cs="Arial"/>
          <w:b/>
        </w:rPr>
        <w:t xml:space="preserve">  </w:t>
      </w:r>
      <w:r>
        <w:rPr>
          <w:rFonts w:ascii="Arial" w:eastAsia="Arial" w:hAnsi="Arial" w:cs="Arial"/>
          <w:b/>
        </w:rPr>
        <w:tab/>
      </w:r>
      <w:r>
        <w:t xml:space="preserve">The Authority shall cancel, suspend, or withdraw the registration of a product if:-  </w:t>
      </w:r>
    </w:p>
    <w:p w:rsidR="00E906E6" w:rsidRDefault="00D92AC8">
      <w:pPr>
        <w:spacing w:after="24" w:line="259" w:lineRule="auto"/>
        <w:ind w:left="14" w:firstLine="0"/>
        <w:jc w:val="left"/>
      </w:pPr>
      <w:r>
        <w:rPr>
          <w:sz w:val="20"/>
        </w:rPr>
        <w:t xml:space="preserve"> </w:t>
      </w:r>
      <w:r>
        <w:t xml:space="preserve"> </w:t>
      </w:r>
    </w:p>
    <w:p w:rsidR="00E906E6" w:rsidRDefault="00D92AC8">
      <w:pPr>
        <w:numPr>
          <w:ilvl w:val="2"/>
          <w:numId w:val="14"/>
        </w:numPr>
        <w:ind w:right="829" w:hanging="720"/>
      </w:pPr>
      <w:r>
        <w:t xml:space="preserve">the grounds on which it was registered is later found to be false; or  </w:t>
      </w:r>
    </w:p>
    <w:p w:rsidR="00E906E6" w:rsidRDefault="00D92AC8">
      <w:pPr>
        <w:spacing w:after="1" w:line="259" w:lineRule="auto"/>
        <w:ind w:left="14" w:firstLine="0"/>
        <w:jc w:val="left"/>
      </w:pPr>
      <w:r>
        <w:t xml:space="preserve">  </w:t>
      </w:r>
    </w:p>
    <w:p w:rsidR="00E906E6" w:rsidRDefault="00D92AC8">
      <w:pPr>
        <w:numPr>
          <w:ilvl w:val="2"/>
          <w:numId w:val="14"/>
        </w:numPr>
        <w:ind w:right="829" w:hanging="720"/>
      </w:pPr>
      <w:r>
        <w:t xml:space="preserve">the circumstances under which it was registered no longer exist; or  </w:t>
      </w:r>
    </w:p>
    <w:p w:rsidR="00E906E6" w:rsidRDefault="00D92AC8">
      <w:pPr>
        <w:spacing w:after="1" w:line="259" w:lineRule="auto"/>
        <w:ind w:left="74" w:firstLine="0"/>
        <w:jc w:val="left"/>
      </w:pPr>
      <w:r>
        <w:t xml:space="preserve"> </w:t>
      </w:r>
    </w:p>
    <w:p w:rsidR="00E906E6" w:rsidRDefault="00D92AC8">
      <w:pPr>
        <w:numPr>
          <w:ilvl w:val="2"/>
          <w:numId w:val="14"/>
        </w:numPr>
        <w:ind w:right="829" w:hanging="720"/>
      </w:pPr>
      <w:r>
        <w:t xml:space="preserve">any of the provisions under which it was registered has been contravened; or  </w:t>
      </w:r>
    </w:p>
    <w:p w:rsidR="00E906E6" w:rsidRDefault="00D92AC8">
      <w:pPr>
        <w:spacing w:after="1" w:line="259" w:lineRule="auto"/>
        <w:ind w:left="14" w:firstLine="0"/>
        <w:jc w:val="left"/>
      </w:pPr>
      <w:r>
        <w:t xml:space="preserve">  </w:t>
      </w:r>
    </w:p>
    <w:p w:rsidR="00E906E6" w:rsidRDefault="00D92AC8">
      <w:pPr>
        <w:numPr>
          <w:ilvl w:val="2"/>
          <w:numId w:val="14"/>
        </w:numPr>
        <w:ind w:right="829" w:hanging="720"/>
      </w:pPr>
      <w:r>
        <w:t xml:space="preserve">the standard of quality, safety and efficacy, as prescribed in the documentation for registration is not being complied with; or  </w:t>
      </w:r>
    </w:p>
    <w:p w:rsidR="00E906E6" w:rsidRDefault="00D92AC8">
      <w:pPr>
        <w:spacing w:after="1" w:line="259" w:lineRule="auto"/>
        <w:ind w:left="14" w:firstLine="0"/>
        <w:jc w:val="left"/>
      </w:pPr>
      <w:r>
        <w:t xml:space="preserve">  </w:t>
      </w:r>
    </w:p>
    <w:p w:rsidR="00E906E6" w:rsidRDefault="00D92AC8">
      <w:pPr>
        <w:numPr>
          <w:ilvl w:val="2"/>
          <w:numId w:val="14"/>
        </w:numPr>
        <w:ind w:right="829" w:hanging="720"/>
      </w:pPr>
      <w:r>
        <w:lastRenderedPageBreak/>
        <w:t>the premises, in which the product or pa</w:t>
      </w:r>
      <w:r>
        <w:t xml:space="preserve">rt thereof is manufactured, packaged or stored by or on behalf of the holder of the certificate of registration is unsuitable for the manufacture, packaging or storage of the Homeopathic medicine.  </w:t>
      </w:r>
    </w:p>
    <w:p w:rsidR="00E906E6" w:rsidRDefault="00D92AC8">
      <w:pPr>
        <w:spacing w:after="26" w:line="259" w:lineRule="auto"/>
        <w:ind w:left="734" w:firstLine="0"/>
        <w:jc w:val="left"/>
      </w:pPr>
      <w:r>
        <w:rPr>
          <w:sz w:val="20"/>
        </w:rPr>
        <w:t xml:space="preserve"> </w:t>
      </w:r>
      <w:r>
        <w:t xml:space="preserve"> </w:t>
      </w:r>
    </w:p>
    <w:p w:rsidR="00E906E6" w:rsidRDefault="00D92AC8">
      <w:pPr>
        <w:numPr>
          <w:ilvl w:val="2"/>
          <w:numId w:val="14"/>
        </w:numPr>
        <w:ind w:right="829" w:hanging="720"/>
      </w:pPr>
      <w:r>
        <w:t>Where the registration of a Homeopathic medicine is su</w:t>
      </w:r>
      <w:r>
        <w:t xml:space="preserve">spended, withdrawn or cancelled, the Authority shall cause the withdrawal from circulation of that product and shall accordingly cause the suspension, cancellation or withdrawal to be published in the </w:t>
      </w:r>
      <w:proofErr w:type="spellStart"/>
      <w:r>
        <w:t>Gazzette</w:t>
      </w:r>
      <w:proofErr w:type="spellEnd"/>
      <w:r>
        <w:t xml:space="preserve">.  </w:t>
      </w:r>
    </w:p>
    <w:p w:rsidR="00E906E6" w:rsidRDefault="00D92AC8">
      <w:pPr>
        <w:spacing w:after="0" w:line="259" w:lineRule="auto"/>
        <w:ind w:left="14" w:firstLine="0"/>
        <w:jc w:val="left"/>
      </w:pPr>
      <w:r>
        <w:t xml:space="preserve">                        </w:t>
      </w:r>
    </w:p>
    <w:sectPr w:rsidR="00E906E6">
      <w:headerReference w:type="even" r:id="rId8"/>
      <w:headerReference w:type="default" r:id="rId9"/>
      <w:footerReference w:type="even" r:id="rId10"/>
      <w:footerReference w:type="default" r:id="rId11"/>
      <w:headerReference w:type="first" r:id="rId12"/>
      <w:footerReference w:type="first" r:id="rId13"/>
      <w:pgSz w:w="12240" w:h="15840"/>
      <w:pgMar w:top="729" w:right="593" w:bottom="90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AC8" w:rsidRDefault="00D92AC8">
      <w:pPr>
        <w:spacing w:after="0" w:line="240" w:lineRule="auto"/>
      </w:pPr>
      <w:r>
        <w:separator/>
      </w:r>
    </w:p>
  </w:endnote>
  <w:endnote w:type="continuationSeparator" w:id="0">
    <w:p w:rsidR="00D92AC8" w:rsidRDefault="00D9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D92AC8">
    <w:pPr>
      <w:spacing w:after="480" w:line="259" w:lineRule="auto"/>
      <w:ind w:left="86" w:firstLine="0"/>
      <w:jc w:val="left"/>
    </w:pPr>
    <w:r>
      <w:t xml:space="preserve"> </w:t>
    </w:r>
  </w:p>
  <w:p w:rsidR="00E906E6" w:rsidRDefault="00D92AC8">
    <w:pPr>
      <w:spacing w:after="11" w:line="259" w:lineRule="auto"/>
      <w:ind w:left="166" w:firstLine="0"/>
      <w:jc w:val="left"/>
    </w:pPr>
    <w:r>
      <w:rPr>
        <w:sz w:val="20"/>
      </w:rPr>
      <w:t xml:space="preserve">                                                                                                                                                                   Page </w:t>
    </w:r>
    <w:r>
      <w:fldChar w:fldCharType="begin"/>
    </w:r>
    <w:r>
      <w:instrText xml:space="preserve"> PAGE   \* MERGEFORM</w:instrText>
    </w:r>
    <w:r>
      <w:instrText xml:space="preserve">AT </w:instrText>
    </w:r>
    <w:r>
      <w:fldChar w:fldCharType="separate"/>
    </w:r>
    <w:r>
      <w:rPr>
        <w:b/>
        <w:sz w:val="20"/>
      </w:rPr>
      <w:t>2</w:t>
    </w:r>
    <w:r>
      <w:rPr>
        <w:b/>
        <w:sz w:val="20"/>
      </w:rPr>
      <w:fldChar w:fldCharType="end"/>
    </w:r>
    <w:r>
      <w:rPr>
        <w:sz w:val="20"/>
      </w:rPr>
      <w:t xml:space="preserve"> of </w:t>
    </w:r>
    <w:r>
      <w:fldChar w:fldCharType="begin"/>
    </w:r>
    <w:r>
      <w:instrText xml:space="preserve"> PAGE   \* MERGEFORMAT </w:instrText>
    </w:r>
    <w:r>
      <w:fldChar w:fldCharType="separate"/>
    </w:r>
    <w:r>
      <w:rPr>
        <w:b/>
        <w:sz w:val="20"/>
      </w:rPr>
      <w:t>2</w:t>
    </w:r>
    <w:r>
      <w:rPr>
        <w:b/>
        <w:sz w:val="20"/>
      </w:rPr>
      <w:fldChar w:fldCharType="end"/>
    </w:r>
    <w:r>
      <w:rPr>
        <w:sz w:val="20"/>
      </w:rPr>
      <w:t xml:space="preserve"> </w:t>
    </w:r>
    <w:r>
      <w:t xml:space="preserve"> </w:t>
    </w:r>
  </w:p>
  <w:p w:rsidR="00E906E6" w:rsidRDefault="00D92AC8">
    <w:pPr>
      <w:spacing w:after="0" w:line="259" w:lineRule="auto"/>
      <w:ind w:left="14"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D92AC8">
    <w:pPr>
      <w:spacing w:after="698" w:line="259" w:lineRule="auto"/>
      <w:ind w:left="74" w:firstLine="0"/>
      <w:jc w:val="left"/>
    </w:pPr>
    <w:r>
      <w:t xml:space="preserve"> </w:t>
    </w:r>
  </w:p>
  <w:p w:rsidR="00E906E6" w:rsidRDefault="00D92AC8">
    <w:pPr>
      <w:spacing w:after="11" w:line="259" w:lineRule="auto"/>
      <w:ind w:left="0" w:right="832" w:firstLine="0"/>
      <w:jc w:val="center"/>
    </w:pPr>
    <w:r>
      <w:rPr>
        <w:sz w:val="20"/>
      </w:rPr>
      <w:t xml:space="preserve">                                                                                                                                                                   Page </w:t>
    </w:r>
    <w:r>
      <w:fldChar w:fldCharType="begin"/>
    </w:r>
    <w:r>
      <w:instrText xml:space="preserve"> PAGE   \* MERGEFORMAT </w:instrText>
    </w:r>
    <w:r>
      <w:fldChar w:fldCharType="separate"/>
    </w:r>
    <w:r>
      <w:rPr>
        <w:b/>
        <w:sz w:val="20"/>
      </w:rPr>
      <w:t>3</w:t>
    </w:r>
    <w:r>
      <w:rPr>
        <w:b/>
        <w:sz w:val="20"/>
      </w:rPr>
      <w:fldChar w:fldCharType="end"/>
    </w:r>
    <w:r>
      <w:rPr>
        <w:sz w:val="20"/>
      </w:rPr>
      <w:t xml:space="preserve"> of </w:t>
    </w:r>
    <w:r>
      <w:fldChar w:fldCharType="begin"/>
    </w:r>
    <w:r>
      <w:instrText xml:space="preserve"> PAGE   \* MERGEFORMAT </w:instrText>
    </w:r>
    <w:r>
      <w:fldChar w:fldCharType="separate"/>
    </w:r>
    <w:r>
      <w:rPr>
        <w:b/>
        <w:sz w:val="20"/>
      </w:rPr>
      <w:t>3</w:t>
    </w:r>
    <w:r>
      <w:rPr>
        <w:b/>
        <w:sz w:val="20"/>
      </w:rPr>
      <w:fldChar w:fldCharType="end"/>
    </w:r>
    <w:r>
      <w:rPr>
        <w:sz w:val="20"/>
      </w:rPr>
      <w:t xml:space="preserve"> </w:t>
    </w:r>
    <w:r>
      <w:t xml:space="preserve"> </w:t>
    </w:r>
  </w:p>
  <w:p w:rsidR="00E906E6" w:rsidRDefault="00D92AC8">
    <w:pPr>
      <w:spacing w:after="0" w:line="259" w:lineRule="auto"/>
      <w:ind w:left="14"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E906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AC8" w:rsidRDefault="00D92AC8">
      <w:pPr>
        <w:spacing w:after="0" w:line="240" w:lineRule="auto"/>
      </w:pPr>
      <w:r>
        <w:separator/>
      </w:r>
    </w:p>
  </w:footnote>
  <w:footnote w:type="continuationSeparator" w:id="0">
    <w:p w:rsidR="00D92AC8" w:rsidRDefault="00D9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D92AC8">
    <w:pPr>
      <w:spacing w:after="0" w:line="259" w:lineRule="auto"/>
      <w:ind w:left="14" w:firstLine="0"/>
      <w:jc w:val="left"/>
    </w:pPr>
    <w:r>
      <w:rPr>
        <w:sz w:val="20"/>
      </w:rPr>
      <w:t xml:space="preserve">  </w:t>
    </w:r>
    <w:r>
      <w:rPr>
        <w:b/>
        <w:sz w:val="20"/>
      </w:rPr>
      <w:t xml:space="preserve">                                                                                                                                    FDA/HMD/GL-HP/2012/01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D92AC8">
    <w:pPr>
      <w:spacing w:after="0" w:line="259" w:lineRule="auto"/>
      <w:ind w:left="14" w:firstLine="0"/>
      <w:jc w:val="left"/>
    </w:pPr>
    <w:r>
      <w:rPr>
        <w:sz w:val="20"/>
      </w:rPr>
      <w:t xml:space="preserve">  </w:t>
    </w:r>
    <w:r>
      <w:rPr>
        <w:b/>
        <w:sz w:val="20"/>
      </w:rPr>
      <w:t xml:space="preserve">                                                                                               </w:t>
    </w:r>
    <w:r>
      <w:rPr>
        <w:b/>
        <w:sz w:val="20"/>
      </w:rPr>
      <w:t xml:space="preserve">                                     FDA/HMD/GL-HP/2012/01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E6" w:rsidRDefault="00E906E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77F9"/>
    <w:multiLevelType w:val="hybridMultilevel"/>
    <w:tmpl w:val="B2224148"/>
    <w:lvl w:ilvl="0" w:tplc="ED3E133C">
      <w:start w:val="1"/>
      <w:numFmt w:val="bullet"/>
      <w:lvlText w:val="•"/>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F02C15E">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9782D8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3E8F58E">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236D814">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10C7248">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7C47E1A">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B2C99CA">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2FE0F3A">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B44C5A"/>
    <w:multiLevelType w:val="hybridMultilevel"/>
    <w:tmpl w:val="AE0A2180"/>
    <w:lvl w:ilvl="0" w:tplc="B16E4D1A">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4AF1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3EE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80A1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CF63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6C8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F3E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CAF2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122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5F3459"/>
    <w:multiLevelType w:val="hybridMultilevel"/>
    <w:tmpl w:val="F0B4AF76"/>
    <w:lvl w:ilvl="0" w:tplc="CABAC192">
      <w:start w:val="1"/>
      <w:numFmt w:val="upperRoman"/>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45E78">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6611E">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2AA1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8370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6008E">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A9C8">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EF6E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8CB28">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03403"/>
    <w:multiLevelType w:val="hybridMultilevel"/>
    <w:tmpl w:val="3DA2F67C"/>
    <w:lvl w:ilvl="0" w:tplc="9028D9DA">
      <w:start w:val="1"/>
      <w:numFmt w:val="lowerLetter"/>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064C0">
      <w:start w:val="1"/>
      <w:numFmt w:val="lowerLetter"/>
      <w:lvlText w:val="%2"/>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047B4">
      <w:start w:val="1"/>
      <w:numFmt w:val="lowerRoman"/>
      <w:lvlText w:val="%3"/>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3022">
      <w:start w:val="1"/>
      <w:numFmt w:val="decimal"/>
      <w:lvlText w:val="%4"/>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8D738">
      <w:start w:val="1"/>
      <w:numFmt w:val="lowerLetter"/>
      <w:lvlText w:val="%5"/>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4FA4C">
      <w:start w:val="1"/>
      <w:numFmt w:val="lowerRoman"/>
      <w:lvlText w:val="%6"/>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05BA4">
      <w:start w:val="1"/>
      <w:numFmt w:val="decimal"/>
      <w:lvlText w:val="%7"/>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C7968">
      <w:start w:val="1"/>
      <w:numFmt w:val="lowerLetter"/>
      <w:lvlText w:val="%8"/>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0C9EA">
      <w:start w:val="1"/>
      <w:numFmt w:val="lowerRoman"/>
      <w:lvlText w:val="%9"/>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E0660"/>
    <w:multiLevelType w:val="hybridMultilevel"/>
    <w:tmpl w:val="788E60C4"/>
    <w:lvl w:ilvl="0" w:tplc="CE1825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E076C">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C0C80">
      <w:start w:val="1"/>
      <w:numFmt w:val="lowerRoman"/>
      <w:lvlText w:val="%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00CE0">
      <w:start w:val="1"/>
      <w:numFmt w:val="lowerLetter"/>
      <w:lvlRestart w:val="0"/>
      <w:lvlText w:val="%4)"/>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CDE88">
      <w:start w:val="1"/>
      <w:numFmt w:val="lowerLetter"/>
      <w:lvlText w:val="%5"/>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28A82">
      <w:start w:val="1"/>
      <w:numFmt w:val="lowerRoman"/>
      <w:lvlText w:val="%6"/>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05F18">
      <w:start w:val="1"/>
      <w:numFmt w:val="decimal"/>
      <w:lvlText w:val="%7"/>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81D42">
      <w:start w:val="1"/>
      <w:numFmt w:val="lowerLetter"/>
      <w:lvlText w:val="%8"/>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0061A">
      <w:start w:val="1"/>
      <w:numFmt w:val="lowerRoman"/>
      <w:lvlText w:val="%9"/>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6A188C"/>
    <w:multiLevelType w:val="hybridMultilevel"/>
    <w:tmpl w:val="E79A88D6"/>
    <w:lvl w:ilvl="0" w:tplc="DBD4D2EE">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40C4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42AF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EEBD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E103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82DE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2206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8651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2E3D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620039"/>
    <w:multiLevelType w:val="hybridMultilevel"/>
    <w:tmpl w:val="54024CBC"/>
    <w:lvl w:ilvl="0" w:tplc="256609E8">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A274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E84F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8DFC0">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655D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361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820A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C36C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C469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A83C0A"/>
    <w:multiLevelType w:val="hybridMultilevel"/>
    <w:tmpl w:val="2AA8CF62"/>
    <w:lvl w:ilvl="0" w:tplc="8FC88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063D2">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5D7E">
      <w:start w:val="1"/>
      <w:numFmt w:val="lowerLetter"/>
      <w:lvlRestart w:val="0"/>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227F8">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05450">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8DCA8">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AC968">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EA398">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2239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DD1722"/>
    <w:multiLevelType w:val="hybridMultilevel"/>
    <w:tmpl w:val="413ADD72"/>
    <w:lvl w:ilvl="0" w:tplc="08B2D840">
      <w:start w:val="1"/>
      <w:numFmt w:val="upperRoman"/>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E12CE">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67BBE">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CD8BC">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2FF88">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C014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E3A6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E7A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4B04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C323C6"/>
    <w:multiLevelType w:val="hybridMultilevel"/>
    <w:tmpl w:val="4B3A703E"/>
    <w:lvl w:ilvl="0" w:tplc="606C9BB6">
      <w:start w:val="1"/>
      <w:numFmt w:val="upperRoman"/>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B71C">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2EC42">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80C1C">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6DDD8">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26C46">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8CB80">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E5B6A">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4C6C6">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DB4155"/>
    <w:multiLevelType w:val="hybridMultilevel"/>
    <w:tmpl w:val="51B610A8"/>
    <w:lvl w:ilvl="0" w:tplc="4BAC90D8">
      <w:start w:val="1"/>
      <w:numFmt w:val="upperRoman"/>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45F8A">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0B8B2">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BB6C">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21CFE">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A7614">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46EA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E648C">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29F66">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485E18"/>
    <w:multiLevelType w:val="hybridMultilevel"/>
    <w:tmpl w:val="2F542314"/>
    <w:lvl w:ilvl="0" w:tplc="0EDA09E8">
      <w:start w:val="1"/>
      <w:numFmt w:val="upperRoman"/>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4017A">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40492">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C50F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0C99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E202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04ED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45668">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B962">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076498"/>
    <w:multiLevelType w:val="hybridMultilevel"/>
    <w:tmpl w:val="E7D6A16A"/>
    <w:lvl w:ilvl="0" w:tplc="DFD20280">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6B5F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8A2E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E907E">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C1D6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249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C276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60A6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E909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7B25E3"/>
    <w:multiLevelType w:val="hybridMultilevel"/>
    <w:tmpl w:val="77C06F24"/>
    <w:lvl w:ilvl="0" w:tplc="2B70EF60">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C8B1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E8C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0B95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4C60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ED5D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EE3E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8D5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87E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605C7F"/>
    <w:multiLevelType w:val="multilevel"/>
    <w:tmpl w:val="8D7680F6"/>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9"/>
  </w:num>
  <w:num w:numId="3">
    <w:abstractNumId w:val="0"/>
  </w:num>
  <w:num w:numId="4">
    <w:abstractNumId w:val="6"/>
  </w:num>
  <w:num w:numId="5">
    <w:abstractNumId w:val="11"/>
  </w:num>
  <w:num w:numId="6">
    <w:abstractNumId w:val="5"/>
  </w:num>
  <w:num w:numId="7">
    <w:abstractNumId w:val="2"/>
  </w:num>
  <w:num w:numId="8">
    <w:abstractNumId w:val="1"/>
  </w:num>
  <w:num w:numId="9">
    <w:abstractNumId w:val="8"/>
  </w:num>
  <w:num w:numId="10">
    <w:abstractNumId w:val="12"/>
  </w:num>
  <w:num w:numId="11">
    <w:abstractNumId w:val="3"/>
  </w:num>
  <w:num w:numId="12">
    <w:abstractNumId w:val="10"/>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E6"/>
    <w:rsid w:val="00AF7E3D"/>
    <w:rsid w:val="00D92AC8"/>
    <w:rsid w:val="00E9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167F"/>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3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5"/>
      </w:numP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15"/>
      </w:numPr>
      <w:spacing w:after="0"/>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line="266"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10" w:line="252" w:lineRule="auto"/>
      <w:ind w:left="39" w:right="161" w:hanging="10"/>
      <w:jc w:val="both"/>
    </w:pPr>
    <w:rPr>
      <w:rFonts w:ascii="Times New Roman" w:eastAsia="Times New Roman" w:hAnsi="Times New Roman" w:cs="Times New Roman"/>
      <w:color w:val="000000"/>
      <w:sz w:val="24"/>
    </w:rPr>
  </w:style>
  <w:style w:type="paragraph" w:styleId="TOC2">
    <w:name w:val="toc 2"/>
    <w:hidden/>
    <w:pPr>
      <w:spacing w:after="10" w:line="252" w:lineRule="auto"/>
      <w:ind w:left="198" w:right="16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HERBAL2</dc:creator>
  <cp:keywords/>
  <cp:lastModifiedBy>samuel fahren otoo</cp:lastModifiedBy>
  <cp:revision>2</cp:revision>
  <dcterms:created xsi:type="dcterms:W3CDTF">2020-04-05T20:55:00Z</dcterms:created>
  <dcterms:modified xsi:type="dcterms:W3CDTF">2020-04-05T20:55:00Z</dcterms:modified>
</cp:coreProperties>
</file>