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B78C3" w14:textId="77777777" w:rsidR="00B047ED" w:rsidRDefault="0043351B">
      <w:pPr>
        <w:spacing w:after="148" w:line="259" w:lineRule="auto"/>
        <w:ind w:left="14" w:firstLine="0"/>
        <w:jc w:val="left"/>
      </w:pPr>
      <w:r>
        <w:t xml:space="preserve"> </w:t>
      </w:r>
    </w:p>
    <w:p w14:paraId="6E54C86C" w14:textId="77777777" w:rsidR="00B047ED" w:rsidRDefault="0043351B">
      <w:pPr>
        <w:spacing w:after="2" w:line="259" w:lineRule="auto"/>
        <w:ind w:left="57" w:firstLine="0"/>
        <w:jc w:val="center"/>
      </w:pPr>
      <w:r>
        <w:rPr>
          <w:noProof/>
        </w:rPr>
        <w:drawing>
          <wp:inline distT="0" distB="0" distL="0" distR="0" wp14:anchorId="14883F44" wp14:editId="49EFE23B">
            <wp:extent cx="1379220" cy="139954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1379220" cy="1399540"/>
                    </a:xfrm>
                    <a:prstGeom prst="rect">
                      <a:avLst/>
                    </a:prstGeom>
                  </pic:spPr>
                </pic:pic>
              </a:graphicData>
            </a:graphic>
          </wp:inline>
        </w:drawing>
      </w:r>
      <w:r>
        <w:t xml:space="preserve"> </w:t>
      </w:r>
    </w:p>
    <w:p w14:paraId="4599D38A" w14:textId="77777777" w:rsidR="00B047ED" w:rsidRDefault="0043351B">
      <w:pPr>
        <w:spacing w:after="162" w:line="259" w:lineRule="auto"/>
        <w:ind w:left="228" w:firstLine="0"/>
        <w:jc w:val="center"/>
      </w:pPr>
      <w:r>
        <w:rPr>
          <w:b/>
          <w:sz w:val="36"/>
        </w:rPr>
        <w:t xml:space="preserve"> </w:t>
      </w:r>
      <w:r>
        <w:t xml:space="preserve"> </w:t>
      </w:r>
    </w:p>
    <w:p w14:paraId="39553C29" w14:textId="77777777" w:rsidR="00B047ED" w:rsidRDefault="0043351B">
      <w:pPr>
        <w:spacing w:after="0" w:line="259" w:lineRule="auto"/>
        <w:ind w:left="0" w:right="18" w:firstLine="0"/>
        <w:jc w:val="center"/>
      </w:pPr>
      <w:r>
        <w:rPr>
          <w:b/>
          <w:sz w:val="48"/>
        </w:rPr>
        <w:t xml:space="preserve">FOOD AND DRUGS AUTHORITY </w:t>
      </w:r>
      <w:r>
        <w:t xml:space="preserve"> </w:t>
      </w:r>
    </w:p>
    <w:p w14:paraId="15F1C15F" w14:textId="77777777" w:rsidR="00B047ED" w:rsidRDefault="0043351B">
      <w:pPr>
        <w:spacing w:after="0" w:line="259" w:lineRule="auto"/>
        <w:ind w:left="206" w:firstLine="0"/>
        <w:jc w:val="center"/>
      </w:pPr>
      <w:r>
        <w:rPr>
          <w:b/>
          <w:sz w:val="32"/>
        </w:rPr>
        <w:t xml:space="preserve"> </w:t>
      </w:r>
      <w:r>
        <w:t xml:space="preserve"> </w:t>
      </w:r>
    </w:p>
    <w:p w14:paraId="76941022" w14:textId="77777777" w:rsidR="00B047ED" w:rsidRDefault="0043351B">
      <w:pPr>
        <w:spacing w:after="0" w:line="259" w:lineRule="auto"/>
        <w:ind w:left="206" w:firstLine="0"/>
        <w:jc w:val="center"/>
      </w:pPr>
      <w:r>
        <w:rPr>
          <w:b/>
          <w:sz w:val="32"/>
        </w:rPr>
        <w:t xml:space="preserve"> </w:t>
      </w:r>
      <w:r>
        <w:t xml:space="preserve"> </w:t>
      </w:r>
    </w:p>
    <w:p w14:paraId="293BD227" w14:textId="77777777" w:rsidR="00B047ED" w:rsidRDefault="0043351B">
      <w:pPr>
        <w:spacing w:after="0" w:line="259" w:lineRule="auto"/>
        <w:ind w:left="206" w:firstLine="0"/>
        <w:jc w:val="center"/>
      </w:pPr>
      <w:r>
        <w:rPr>
          <w:b/>
          <w:sz w:val="32"/>
        </w:rPr>
        <w:t xml:space="preserve"> </w:t>
      </w:r>
      <w:r>
        <w:t xml:space="preserve"> </w:t>
      </w:r>
    </w:p>
    <w:p w14:paraId="76F9E7EC" w14:textId="77777777" w:rsidR="00B047ED" w:rsidRDefault="0043351B">
      <w:pPr>
        <w:spacing w:after="0" w:line="259" w:lineRule="auto"/>
        <w:ind w:left="206" w:firstLine="0"/>
        <w:jc w:val="center"/>
      </w:pPr>
      <w:r>
        <w:rPr>
          <w:b/>
          <w:sz w:val="32"/>
        </w:rPr>
        <w:t xml:space="preserve"> </w:t>
      </w:r>
      <w:r>
        <w:t xml:space="preserve"> </w:t>
      </w:r>
    </w:p>
    <w:p w14:paraId="6C434D0E" w14:textId="77777777" w:rsidR="00B047ED" w:rsidRDefault="0043351B">
      <w:pPr>
        <w:spacing w:after="0" w:line="259" w:lineRule="auto"/>
        <w:ind w:left="206" w:firstLine="0"/>
        <w:jc w:val="center"/>
      </w:pPr>
      <w:r>
        <w:rPr>
          <w:b/>
          <w:sz w:val="32"/>
        </w:rPr>
        <w:t xml:space="preserve"> </w:t>
      </w:r>
      <w:r>
        <w:t xml:space="preserve"> </w:t>
      </w:r>
    </w:p>
    <w:p w14:paraId="6CF009E5" w14:textId="77777777" w:rsidR="00B047ED" w:rsidRDefault="0043351B">
      <w:pPr>
        <w:spacing w:after="0" w:line="259" w:lineRule="auto"/>
        <w:ind w:left="206" w:firstLine="0"/>
        <w:jc w:val="center"/>
      </w:pPr>
      <w:r>
        <w:rPr>
          <w:b/>
          <w:sz w:val="32"/>
        </w:rPr>
        <w:t xml:space="preserve"> </w:t>
      </w:r>
      <w:r>
        <w:t xml:space="preserve"> </w:t>
      </w:r>
    </w:p>
    <w:p w14:paraId="4FB8811D" w14:textId="77777777" w:rsidR="00B047ED" w:rsidRDefault="0043351B">
      <w:pPr>
        <w:spacing w:after="0" w:line="259" w:lineRule="auto"/>
        <w:ind w:left="206" w:firstLine="0"/>
        <w:jc w:val="center"/>
      </w:pPr>
      <w:r>
        <w:rPr>
          <w:b/>
          <w:sz w:val="32"/>
        </w:rPr>
        <w:t xml:space="preserve"> </w:t>
      </w:r>
      <w:r>
        <w:t xml:space="preserve"> </w:t>
      </w:r>
    </w:p>
    <w:p w14:paraId="743E172A" w14:textId="77777777" w:rsidR="00B047ED" w:rsidRDefault="0043351B">
      <w:pPr>
        <w:spacing w:after="0" w:line="259" w:lineRule="auto"/>
        <w:ind w:left="206" w:firstLine="0"/>
        <w:jc w:val="center"/>
      </w:pPr>
      <w:r>
        <w:rPr>
          <w:b/>
          <w:sz w:val="32"/>
        </w:rPr>
        <w:t xml:space="preserve"> </w:t>
      </w:r>
      <w:r>
        <w:t xml:space="preserve"> </w:t>
      </w:r>
    </w:p>
    <w:p w14:paraId="0D0B9A1A" w14:textId="77777777" w:rsidR="00B047ED" w:rsidRDefault="0043351B">
      <w:pPr>
        <w:spacing w:after="0" w:line="259" w:lineRule="auto"/>
        <w:ind w:left="206" w:firstLine="0"/>
        <w:jc w:val="center"/>
      </w:pPr>
      <w:r>
        <w:rPr>
          <w:b/>
          <w:sz w:val="32"/>
        </w:rPr>
        <w:t xml:space="preserve"> </w:t>
      </w:r>
      <w:r>
        <w:t xml:space="preserve"> </w:t>
      </w:r>
    </w:p>
    <w:p w14:paraId="11238408" w14:textId="77777777" w:rsidR="00B047ED" w:rsidRDefault="0043351B">
      <w:pPr>
        <w:spacing w:after="99" w:line="259" w:lineRule="auto"/>
        <w:ind w:left="206" w:firstLine="0"/>
        <w:jc w:val="center"/>
      </w:pPr>
      <w:r>
        <w:rPr>
          <w:b/>
          <w:sz w:val="32"/>
        </w:rPr>
        <w:t xml:space="preserve"> </w:t>
      </w:r>
      <w:r>
        <w:t xml:space="preserve"> </w:t>
      </w:r>
    </w:p>
    <w:p w14:paraId="1A8CDD4F" w14:textId="77777777" w:rsidR="00B047ED" w:rsidRDefault="0043351B">
      <w:pPr>
        <w:spacing w:after="0" w:line="259" w:lineRule="auto"/>
        <w:ind w:left="10" w:right="17"/>
        <w:jc w:val="center"/>
      </w:pPr>
      <w:r>
        <w:rPr>
          <w:b/>
          <w:sz w:val="40"/>
        </w:rPr>
        <w:t xml:space="preserve">GUIDELINES FOR THE LICENSING OF DRY </w:t>
      </w:r>
      <w:r>
        <w:t xml:space="preserve"> </w:t>
      </w:r>
    </w:p>
    <w:p w14:paraId="2912CE3B" w14:textId="77777777" w:rsidR="00B047ED" w:rsidRDefault="0043351B">
      <w:pPr>
        <w:spacing w:after="0" w:line="259" w:lineRule="auto"/>
        <w:ind w:left="10" w:right="14"/>
        <w:jc w:val="center"/>
      </w:pPr>
      <w:r>
        <w:rPr>
          <w:b/>
          <w:sz w:val="40"/>
        </w:rPr>
        <w:t xml:space="preserve">FOOD STORAGE FACILITIES/WAREHOUSE </w:t>
      </w:r>
      <w:r>
        <w:t xml:space="preserve"> </w:t>
      </w:r>
    </w:p>
    <w:p w14:paraId="517E7F8E" w14:textId="77777777" w:rsidR="00B047ED" w:rsidRDefault="0043351B">
      <w:pPr>
        <w:spacing w:after="127" w:line="259" w:lineRule="auto"/>
        <w:ind w:left="14" w:firstLine="0"/>
        <w:jc w:val="left"/>
      </w:pPr>
      <w:r>
        <w:rPr>
          <w:b/>
          <w:sz w:val="28"/>
        </w:rPr>
        <w:t xml:space="preserve"> </w:t>
      </w:r>
      <w:r>
        <w:t xml:space="preserve"> </w:t>
      </w:r>
    </w:p>
    <w:p w14:paraId="7CF0476B" w14:textId="77777777" w:rsidR="00B047ED" w:rsidRDefault="0043351B">
      <w:pPr>
        <w:spacing w:after="143" w:line="259" w:lineRule="auto"/>
        <w:ind w:left="14" w:firstLine="0"/>
        <w:jc w:val="left"/>
      </w:pPr>
      <w:r>
        <w:rPr>
          <w:sz w:val="28"/>
        </w:rPr>
        <w:t xml:space="preserve">  </w:t>
      </w:r>
      <w:r>
        <w:t xml:space="preserve"> </w:t>
      </w:r>
    </w:p>
    <w:p w14:paraId="28F0D619" w14:textId="77777777" w:rsidR="00B047ED" w:rsidRDefault="0043351B">
      <w:pPr>
        <w:spacing w:after="135" w:line="259" w:lineRule="auto"/>
        <w:ind w:left="14" w:firstLine="0"/>
        <w:jc w:val="left"/>
      </w:pPr>
      <w:r>
        <w:rPr>
          <w:b/>
          <w:sz w:val="28"/>
        </w:rPr>
        <w:t xml:space="preserve"> </w:t>
      </w:r>
      <w:r>
        <w:t xml:space="preserve"> </w:t>
      </w:r>
    </w:p>
    <w:p w14:paraId="3A524B3C" w14:textId="77777777" w:rsidR="00B047ED" w:rsidRDefault="0043351B">
      <w:pPr>
        <w:spacing w:after="140" w:line="259" w:lineRule="auto"/>
        <w:ind w:left="14" w:firstLine="0"/>
        <w:jc w:val="left"/>
      </w:pPr>
      <w:r>
        <w:rPr>
          <w:b/>
          <w:sz w:val="28"/>
        </w:rPr>
        <w:t xml:space="preserve"> </w:t>
      </w:r>
      <w:r>
        <w:t xml:space="preserve"> </w:t>
      </w:r>
    </w:p>
    <w:p w14:paraId="021D0196" w14:textId="77777777" w:rsidR="00B047ED" w:rsidRDefault="0043351B">
      <w:pPr>
        <w:spacing w:after="137" w:line="259" w:lineRule="auto"/>
        <w:ind w:left="14" w:firstLine="0"/>
        <w:jc w:val="left"/>
      </w:pPr>
      <w:r>
        <w:rPr>
          <w:b/>
          <w:sz w:val="28"/>
        </w:rPr>
        <w:t xml:space="preserve"> </w:t>
      </w:r>
      <w:r>
        <w:t xml:space="preserve"> </w:t>
      </w:r>
    </w:p>
    <w:p w14:paraId="3AEAE95F" w14:textId="59EFDF8E" w:rsidR="00B047ED" w:rsidRDefault="0043351B" w:rsidP="00931A8C">
      <w:pPr>
        <w:spacing w:after="85" w:line="259" w:lineRule="auto"/>
        <w:ind w:left="14" w:firstLine="0"/>
        <w:jc w:val="left"/>
      </w:pPr>
      <w:r>
        <w:rPr>
          <w:b/>
          <w:sz w:val="28"/>
        </w:rPr>
        <w:t xml:space="preserve"> </w:t>
      </w:r>
      <w:r>
        <w:t xml:space="preserve"> </w:t>
      </w:r>
    </w:p>
    <w:p w14:paraId="6107C4CA" w14:textId="77777777" w:rsidR="00B047ED" w:rsidRDefault="0043351B">
      <w:pPr>
        <w:spacing w:after="43" w:line="259" w:lineRule="auto"/>
        <w:ind w:left="14" w:firstLine="0"/>
        <w:jc w:val="left"/>
      </w:pPr>
      <w:r>
        <w:rPr>
          <w:b/>
        </w:rPr>
        <w:t xml:space="preserve"> </w:t>
      </w:r>
      <w:r>
        <w:t xml:space="preserve"> </w:t>
      </w:r>
    </w:p>
    <w:p w14:paraId="02156D14" w14:textId="77777777" w:rsidR="00B047ED" w:rsidRDefault="0043351B">
      <w:pPr>
        <w:spacing w:after="33" w:line="259" w:lineRule="auto"/>
        <w:ind w:left="0" w:firstLine="0"/>
        <w:jc w:val="right"/>
      </w:pPr>
      <w:r>
        <w:rPr>
          <w:rFonts w:ascii="Calibri" w:eastAsia="Calibri" w:hAnsi="Calibri" w:cs="Calibri"/>
          <w:noProof/>
          <w:sz w:val="22"/>
        </w:rPr>
        <mc:AlternateContent>
          <mc:Choice Requires="wpg">
            <w:drawing>
              <wp:inline distT="0" distB="0" distL="0" distR="0" wp14:anchorId="12C6BE33" wp14:editId="6D7B74B4">
                <wp:extent cx="5924550" cy="57150"/>
                <wp:effectExtent l="0" t="0" r="0" b="0"/>
                <wp:docPr id="4515" name="Group 4515"/>
                <wp:cNvGraphicFramePr/>
                <a:graphic xmlns:a="http://schemas.openxmlformats.org/drawingml/2006/main">
                  <a:graphicData uri="http://schemas.microsoft.com/office/word/2010/wordprocessingGroup">
                    <wpg:wgp>
                      <wpg:cNvGrpSpPr/>
                      <wpg:grpSpPr>
                        <a:xfrm>
                          <a:off x="0" y="0"/>
                          <a:ext cx="5924550" cy="57150"/>
                          <a:chOff x="0" y="0"/>
                          <a:chExt cx="5924550" cy="57150"/>
                        </a:xfrm>
                      </wpg:grpSpPr>
                      <wps:wsp>
                        <wps:cNvPr id="5730" name="Shape 5730"/>
                        <wps:cNvSpPr/>
                        <wps:spPr>
                          <a:xfrm>
                            <a:off x="0" y="45720"/>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5731" name="Shape 5731"/>
                        <wps:cNvSpPr/>
                        <wps:spPr>
                          <a:xfrm>
                            <a:off x="0" y="0"/>
                            <a:ext cx="5924550" cy="34290"/>
                          </a:xfrm>
                          <a:custGeom>
                            <a:avLst/>
                            <a:gdLst/>
                            <a:ahLst/>
                            <a:cxnLst/>
                            <a:rect l="0" t="0" r="0" b="0"/>
                            <a:pathLst>
                              <a:path w="5924550" h="34290">
                                <a:moveTo>
                                  <a:pt x="0" y="0"/>
                                </a:moveTo>
                                <a:lnTo>
                                  <a:pt x="5924550" y="0"/>
                                </a:lnTo>
                                <a:lnTo>
                                  <a:pt x="5924550" y="34290"/>
                                </a:lnTo>
                                <a:lnTo>
                                  <a:pt x="0" y="3429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inline>
            </w:drawing>
          </mc:Choice>
          <mc:Fallback xmlns:a="http://schemas.openxmlformats.org/drawingml/2006/main">
            <w:pict>
              <v:group id="Group 4515" style="width:466.5pt;height:4.5pt;mso-position-horizontal-relative:char;mso-position-vertical-relative:line" coordsize="59245,571">
                <v:shape id="Shape 5732" style="position:absolute;width:59245;height:114;left:0;top:457;" coordsize="5924550,11430" path="m0,0l5924550,0l5924550,11430l0,11430l0,0">
                  <v:stroke weight="0pt" endcap="flat" joinstyle="miter" miterlimit="10" on="false" color="#000000" opacity="0"/>
                  <v:fill on="true" color="#993300"/>
                </v:shape>
                <v:shape id="Shape 5733" style="position:absolute;width:59245;height:342;left:0;top:0;" coordsize="5924550,34290" path="m0,0l5924550,0l5924550,34290l0,34290l0,0">
                  <v:stroke weight="0pt" endcap="flat" joinstyle="miter" miterlimit="10" on="false" color="#000000" opacity="0"/>
                  <v:fill on="true" color="#993300"/>
                </v:shape>
              </v:group>
            </w:pict>
          </mc:Fallback>
        </mc:AlternateContent>
      </w:r>
      <w:r>
        <w:t xml:space="preserve"> </w:t>
      </w:r>
    </w:p>
    <w:p w14:paraId="0B0636C4" w14:textId="77777777" w:rsidR="00B047ED" w:rsidRDefault="0043351B">
      <w:pPr>
        <w:tabs>
          <w:tab w:val="center" w:pos="2174"/>
          <w:tab w:val="center" w:pos="4364"/>
        </w:tabs>
        <w:spacing w:after="0" w:line="259" w:lineRule="auto"/>
        <w:ind w:left="0" w:firstLine="0"/>
        <w:jc w:val="left"/>
      </w:pPr>
      <w:r>
        <w:rPr>
          <w:b/>
        </w:rPr>
        <w:t xml:space="preserve">Document No.:   </w:t>
      </w:r>
      <w:proofErr w:type="gramStart"/>
      <w:r>
        <w:rPr>
          <w:b/>
        </w:rPr>
        <w:tab/>
        <w:t xml:space="preserve">  </w:t>
      </w:r>
      <w:r>
        <w:rPr>
          <w:b/>
        </w:rPr>
        <w:tab/>
      </w:r>
      <w:proofErr w:type="gramEnd"/>
      <w:r>
        <w:rPr>
          <w:shd w:val="clear" w:color="auto" w:fill="FFFF00"/>
        </w:rPr>
        <w:t>FDA/FSMD/GL-FSE/2013/02</w:t>
      </w:r>
      <w:r>
        <w:rPr>
          <w:b/>
          <w:sz w:val="28"/>
        </w:rPr>
        <w:t xml:space="preserve"> </w:t>
      </w:r>
      <w:r>
        <w:t xml:space="preserve"> </w:t>
      </w:r>
    </w:p>
    <w:p w14:paraId="086FADEA" w14:textId="77777777" w:rsidR="00B047ED" w:rsidRDefault="0043351B">
      <w:pPr>
        <w:tabs>
          <w:tab w:val="center" w:pos="3813"/>
        </w:tabs>
        <w:spacing w:after="39" w:line="259" w:lineRule="auto"/>
        <w:ind w:left="-15" w:firstLine="0"/>
        <w:jc w:val="left"/>
      </w:pPr>
      <w:r>
        <w:rPr>
          <w:rFonts w:ascii="Cambria" w:eastAsia="Cambria" w:hAnsi="Cambria" w:cs="Cambria"/>
          <w:b/>
        </w:rPr>
        <w:t>Date of First Adoption</w:t>
      </w:r>
      <w:r>
        <w:rPr>
          <w:rFonts w:ascii="Cambria" w:eastAsia="Cambria" w:hAnsi="Cambria" w:cs="Cambria"/>
        </w:rPr>
        <w:t xml:space="preserve">:  </w:t>
      </w:r>
      <w:r>
        <w:rPr>
          <w:rFonts w:ascii="Cambria" w:eastAsia="Cambria" w:hAnsi="Cambria" w:cs="Cambria"/>
        </w:rPr>
        <w:tab/>
        <w:t>1</w:t>
      </w:r>
      <w:r>
        <w:rPr>
          <w:rFonts w:ascii="Cambria" w:eastAsia="Cambria" w:hAnsi="Cambria" w:cs="Cambria"/>
          <w:vertAlign w:val="superscript"/>
        </w:rPr>
        <w:t>st</w:t>
      </w:r>
      <w:r>
        <w:rPr>
          <w:rFonts w:ascii="Cambria" w:eastAsia="Cambria" w:hAnsi="Cambria" w:cs="Cambria"/>
        </w:rPr>
        <w:t xml:space="preserve"> February 2013 </w:t>
      </w:r>
      <w:r>
        <w:t xml:space="preserve"> </w:t>
      </w:r>
    </w:p>
    <w:p w14:paraId="3F6F90A9" w14:textId="77777777" w:rsidR="00B047ED" w:rsidRDefault="0043351B">
      <w:pPr>
        <w:tabs>
          <w:tab w:val="center" w:pos="3666"/>
        </w:tabs>
        <w:spacing w:after="39" w:line="259" w:lineRule="auto"/>
        <w:ind w:left="-15" w:firstLine="0"/>
        <w:jc w:val="left"/>
      </w:pPr>
      <w:r>
        <w:rPr>
          <w:rFonts w:ascii="Cambria" w:eastAsia="Cambria" w:hAnsi="Cambria" w:cs="Cambria"/>
          <w:b/>
        </w:rPr>
        <w:t>Date of Issue</w:t>
      </w:r>
      <w:r>
        <w:rPr>
          <w:rFonts w:ascii="Cambria" w:eastAsia="Cambria" w:hAnsi="Cambria" w:cs="Cambria"/>
        </w:rPr>
        <w:t xml:space="preserve">:                </w:t>
      </w:r>
      <w:r>
        <w:rPr>
          <w:rFonts w:ascii="Cambria" w:eastAsia="Cambria" w:hAnsi="Cambria" w:cs="Cambria"/>
        </w:rPr>
        <w:tab/>
        <w:t>1</w:t>
      </w:r>
      <w:r>
        <w:rPr>
          <w:rFonts w:ascii="Cambria" w:eastAsia="Cambria" w:hAnsi="Cambria" w:cs="Cambria"/>
          <w:vertAlign w:val="superscript"/>
        </w:rPr>
        <w:t>st</w:t>
      </w:r>
      <w:r>
        <w:rPr>
          <w:rFonts w:ascii="Cambria" w:eastAsia="Cambria" w:hAnsi="Cambria" w:cs="Cambria"/>
        </w:rPr>
        <w:t xml:space="preserve"> March 2013 </w:t>
      </w:r>
      <w:r>
        <w:t xml:space="preserve"> </w:t>
      </w:r>
    </w:p>
    <w:p w14:paraId="360D89DA" w14:textId="62604265" w:rsidR="00B047ED" w:rsidRDefault="0043351B">
      <w:pPr>
        <w:tabs>
          <w:tab w:val="center" w:pos="3027"/>
        </w:tabs>
        <w:spacing w:after="39" w:line="259" w:lineRule="auto"/>
        <w:ind w:left="-15" w:firstLine="0"/>
        <w:jc w:val="left"/>
      </w:pPr>
      <w:r>
        <w:rPr>
          <w:rFonts w:ascii="Cambria" w:eastAsia="Cambria" w:hAnsi="Cambria" w:cs="Cambria"/>
          <w:b/>
        </w:rPr>
        <w:t>Version No.</w:t>
      </w:r>
      <w:r>
        <w:rPr>
          <w:rFonts w:ascii="Cambria" w:eastAsia="Cambria" w:hAnsi="Cambria" w:cs="Cambria"/>
        </w:rPr>
        <w:t xml:space="preserve">:                    </w:t>
      </w:r>
      <w:r>
        <w:rPr>
          <w:rFonts w:ascii="Cambria" w:eastAsia="Cambria" w:hAnsi="Cambria" w:cs="Cambria"/>
        </w:rPr>
        <w:tab/>
        <w:t xml:space="preserve">01 </w:t>
      </w:r>
      <w:r>
        <w:t xml:space="preserve"> </w:t>
      </w:r>
    </w:p>
    <w:p w14:paraId="21E0078B" w14:textId="2A8E13B9" w:rsidR="00931A8C" w:rsidRDefault="00931A8C">
      <w:pPr>
        <w:tabs>
          <w:tab w:val="center" w:pos="3027"/>
        </w:tabs>
        <w:spacing w:after="39" w:line="259" w:lineRule="auto"/>
        <w:ind w:left="-15" w:firstLine="0"/>
        <w:jc w:val="left"/>
      </w:pPr>
    </w:p>
    <w:p w14:paraId="27976AD6" w14:textId="76EA6A48" w:rsidR="00931A8C" w:rsidRDefault="00931A8C">
      <w:pPr>
        <w:tabs>
          <w:tab w:val="center" w:pos="3027"/>
        </w:tabs>
        <w:spacing w:after="39" w:line="259" w:lineRule="auto"/>
        <w:ind w:left="-15" w:firstLine="0"/>
        <w:jc w:val="left"/>
      </w:pPr>
    </w:p>
    <w:p w14:paraId="19FC447E" w14:textId="7DDC64D2" w:rsidR="00931A8C" w:rsidRDefault="00931A8C">
      <w:pPr>
        <w:tabs>
          <w:tab w:val="center" w:pos="3027"/>
        </w:tabs>
        <w:spacing w:after="39" w:line="259" w:lineRule="auto"/>
        <w:ind w:left="-15" w:firstLine="0"/>
        <w:jc w:val="left"/>
      </w:pPr>
    </w:p>
    <w:p w14:paraId="0B14BE55" w14:textId="35D6880A" w:rsidR="00931A8C" w:rsidRDefault="00931A8C">
      <w:pPr>
        <w:tabs>
          <w:tab w:val="center" w:pos="3027"/>
        </w:tabs>
        <w:spacing w:after="39" w:line="259" w:lineRule="auto"/>
        <w:ind w:left="-15" w:firstLine="0"/>
        <w:jc w:val="left"/>
      </w:pPr>
    </w:p>
    <w:p w14:paraId="022DB437" w14:textId="2E674785" w:rsidR="00931A8C" w:rsidRDefault="00931A8C">
      <w:pPr>
        <w:tabs>
          <w:tab w:val="center" w:pos="3027"/>
        </w:tabs>
        <w:spacing w:after="39" w:line="259" w:lineRule="auto"/>
        <w:ind w:left="-15" w:firstLine="0"/>
        <w:jc w:val="left"/>
      </w:pPr>
    </w:p>
    <w:p w14:paraId="4B2F933B" w14:textId="7B302E13" w:rsidR="00931A8C" w:rsidRDefault="00931A8C">
      <w:pPr>
        <w:tabs>
          <w:tab w:val="center" w:pos="3027"/>
        </w:tabs>
        <w:spacing w:after="39" w:line="259" w:lineRule="auto"/>
        <w:ind w:left="-15" w:firstLine="0"/>
        <w:jc w:val="left"/>
      </w:pPr>
    </w:p>
    <w:p w14:paraId="02648179" w14:textId="77777777" w:rsidR="00931A8C" w:rsidRDefault="00931A8C">
      <w:pPr>
        <w:tabs>
          <w:tab w:val="center" w:pos="3027"/>
        </w:tabs>
        <w:spacing w:after="39" w:line="259" w:lineRule="auto"/>
        <w:ind w:left="-15" w:firstLine="0"/>
        <w:jc w:val="left"/>
      </w:pPr>
      <w:bookmarkStart w:id="0" w:name="_GoBack"/>
      <w:bookmarkEnd w:id="0"/>
    </w:p>
    <w:p w14:paraId="406E36B4" w14:textId="77777777" w:rsidR="00B047ED" w:rsidRDefault="0043351B">
      <w:pPr>
        <w:spacing w:after="251" w:line="259" w:lineRule="auto"/>
        <w:ind w:left="-5"/>
        <w:jc w:val="left"/>
      </w:pPr>
      <w:r>
        <w:rPr>
          <w:b/>
          <w:sz w:val="28"/>
        </w:rPr>
        <w:t xml:space="preserve">TABLE OF CONTENT </w:t>
      </w:r>
      <w:r>
        <w:t xml:space="preserve"> </w:t>
      </w:r>
    </w:p>
    <w:p w14:paraId="5F356E4E" w14:textId="77777777" w:rsidR="00B047ED" w:rsidRDefault="0043351B">
      <w:pPr>
        <w:spacing w:after="0" w:line="259" w:lineRule="auto"/>
        <w:ind w:left="14" w:firstLine="0"/>
        <w:jc w:val="left"/>
      </w:pPr>
      <w:r>
        <w:t xml:space="preserve"> </w:t>
      </w:r>
    </w:p>
    <w:sdt>
      <w:sdtPr>
        <w:id w:val="80955846"/>
        <w:docPartObj>
          <w:docPartGallery w:val="Table of Contents"/>
        </w:docPartObj>
      </w:sdtPr>
      <w:sdtEndPr/>
      <w:sdtContent>
        <w:p w14:paraId="1FD59B27" w14:textId="77777777" w:rsidR="00B047ED" w:rsidRDefault="0043351B">
          <w:pPr>
            <w:pStyle w:val="TOC1"/>
            <w:tabs>
              <w:tab w:val="right" w:leader="dot" w:pos="9405"/>
            </w:tabs>
          </w:pPr>
          <w:r>
            <w:fldChar w:fldCharType="begin"/>
          </w:r>
          <w:r>
            <w:instrText xml:space="preserve"> TOC \o "1-2" \h \z \u </w:instrText>
          </w:r>
          <w:r>
            <w:fldChar w:fldCharType="separate"/>
          </w:r>
          <w:hyperlink w:anchor="_Toc5692">
            <w:r>
              <w:t>1.  INTRODUCTION</w:t>
            </w:r>
            <w:r>
              <w:tab/>
            </w:r>
            <w:r>
              <w:fldChar w:fldCharType="begin"/>
            </w:r>
            <w:r>
              <w:instrText>PAGEREF _Toc5692 \h</w:instrText>
            </w:r>
            <w:r>
              <w:fldChar w:fldCharType="separate"/>
            </w:r>
            <w:r>
              <w:t xml:space="preserve">4 </w:t>
            </w:r>
            <w:r>
              <w:fldChar w:fldCharType="end"/>
            </w:r>
          </w:hyperlink>
        </w:p>
        <w:p w14:paraId="60ADE176" w14:textId="77777777" w:rsidR="00B047ED" w:rsidRDefault="0043351B">
          <w:pPr>
            <w:pStyle w:val="TOC1"/>
            <w:tabs>
              <w:tab w:val="right" w:leader="dot" w:pos="9405"/>
            </w:tabs>
          </w:pPr>
          <w:hyperlink w:anchor="_Toc5693">
            <w:r>
              <w:t>2.  GLOSSARY</w:t>
            </w:r>
            <w:r>
              <w:tab/>
            </w:r>
            <w:r>
              <w:fldChar w:fldCharType="begin"/>
            </w:r>
            <w:r>
              <w:instrText>PAGEREF _Toc5693 \h</w:instrText>
            </w:r>
            <w:r>
              <w:fldChar w:fldCharType="separate"/>
            </w:r>
            <w:r>
              <w:t xml:space="preserve">5 </w:t>
            </w:r>
            <w:r>
              <w:fldChar w:fldCharType="end"/>
            </w:r>
          </w:hyperlink>
        </w:p>
        <w:p w14:paraId="09AF51D9" w14:textId="77777777" w:rsidR="00B047ED" w:rsidRDefault="0043351B">
          <w:pPr>
            <w:pStyle w:val="TOC1"/>
            <w:tabs>
              <w:tab w:val="right" w:leader="dot" w:pos="9405"/>
            </w:tabs>
          </w:pPr>
          <w:hyperlink w:anchor="_Toc5694">
            <w:r>
              <w:t>3.  REQUIREMENTS</w:t>
            </w:r>
            <w:r>
              <w:tab/>
            </w:r>
            <w:r>
              <w:fldChar w:fldCharType="begin"/>
            </w:r>
            <w:r>
              <w:instrText>PAGEREF _Toc5694 \h</w:instrText>
            </w:r>
            <w:r>
              <w:fldChar w:fldCharType="separate"/>
            </w:r>
            <w:r>
              <w:t xml:space="preserve">6 </w:t>
            </w:r>
            <w:r>
              <w:fldChar w:fldCharType="end"/>
            </w:r>
          </w:hyperlink>
        </w:p>
        <w:p w14:paraId="25E3AD7A" w14:textId="77777777" w:rsidR="00B047ED" w:rsidRDefault="0043351B">
          <w:pPr>
            <w:pStyle w:val="TOC2"/>
            <w:tabs>
              <w:tab w:val="right" w:leader="dot" w:pos="9405"/>
            </w:tabs>
          </w:pPr>
          <w:hyperlink w:anchor="_Toc5695">
            <w:r>
              <w:t>3.1  GENERAL REQUIREMENTS</w:t>
            </w:r>
            <w:r>
              <w:tab/>
            </w:r>
            <w:r>
              <w:fldChar w:fldCharType="begin"/>
            </w:r>
            <w:r>
              <w:instrText>PAGEREF</w:instrText>
            </w:r>
            <w:r>
              <w:instrText xml:space="preserve"> _Toc5695 \h</w:instrText>
            </w:r>
            <w:r>
              <w:fldChar w:fldCharType="separate"/>
            </w:r>
            <w:r>
              <w:t xml:space="preserve">6 </w:t>
            </w:r>
            <w:r>
              <w:fldChar w:fldCharType="end"/>
            </w:r>
          </w:hyperlink>
        </w:p>
        <w:p w14:paraId="2A82EB47" w14:textId="77777777" w:rsidR="00B047ED" w:rsidRDefault="0043351B">
          <w:pPr>
            <w:pStyle w:val="TOC2"/>
            <w:tabs>
              <w:tab w:val="right" w:leader="dot" w:pos="9405"/>
            </w:tabs>
          </w:pPr>
          <w:hyperlink w:anchor="_Toc5696">
            <w:r>
              <w:t>3.2  SPECIFIC REQUIREMENTS</w:t>
            </w:r>
            <w:r>
              <w:tab/>
            </w:r>
            <w:r>
              <w:fldChar w:fldCharType="begin"/>
            </w:r>
            <w:r>
              <w:instrText>PAGEREF _Toc5696 \h</w:instrText>
            </w:r>
            <w:r>
              <w:fldChar w:fldCharType="separate"/>
            </w:r>
            <w:r>
              <w:t xml:space="preserve">6 </w:t>
            </w:r>
            <w:r>
              <w:fldChar w:fldCharType="end"/>
            </w:r>
          </w:hyperlink>
        </w:p>
        <w:p w14:paraId="7B88C0FB" w14:textId="77777777" w:rsidR="00B047ED" w:rsidRDefault="0043351B">
          <w:pPr>
            <w:pStyle w:val="TOC2"/>
            <w:tabs>
              <w:tab w:val="right" w:leader="dot" w:pos="9405"/>
            </w:tabs>
          </w:pPr>
          <w:hyperlink w:anchor="_Toc5697">
            <w:r>
              <w:t xml:space="preserve">3.3  </w:t>
            </w:r>
            <w:r>
              <w:t>RENEWAL OF FOOD WAREHOUSE FACILITY LICENSE</w:t>
            </w:r>
            <w:r>
              <w:tab/>
            </w:r>
            <w:r>
              <w:fldChar w:fldCharType="begin"/>
            </w:r>
            <w:r>
              <w:instrText>PAGEREF _Toc5697 \h</w:instrText>
            </w:r>
            <w:r>
              <w:fldChar w:fldCharType="separate"/>
            </w:r>
            <w:r>
              <w:t xml:space="preserve">7 </w:t>
            </w:r>
            <w:r>
              <w:fldChar w:fldCharType="end"/>
            </w:r>
          </w:hyperlink>
        </w:p>
        <w:p w14:paraId="4860543F" w14:textId="77777777" w:rsidR="00B047ED" w:rsidRDefault="0043351B">
          <w:pPr>
            <w:pStyle w:val="TOC1"/>
            <w:tabs>
              <w:tab w:val="right" w:leader="dot" w:pos="9405"/>
            </w:tabs>
          </w:pPr>
          <w:hyperlink w:anchor="_Toc5698">
            <w:r>
              <w:t>4.  TIMELINES</w:t>
            </w:r>
            <w:r>
              <w:tab/>
            </w:r>
            <w:r>
              <w:fldChar w:fldCharType="begin"/>
            </w:r>
            <w:r>
              <w:instrText>PAGEREF _Toc5698 \h</w:instrText>
            </w:r>
            <w:r>
              <w:fldChar w:fldCharType="separate"/>
            </w:r>
            <w:r>
              <w:t xml:space="preserve">7 </w:t>
            </w:r>
            <w:r>
              <w:fldChar w:fldCharType="end"/>
            </w:r>
          </w:hyperlink>
        </w:p>
        <w:p w14:paraId="328CC07E" w14:textId="77777777" w:rsidR="00B047ED" w:rsidRDefault="0043351B">
          <w:pPr>
            <w:pStyle w:val="TOC1"/>
            <w:tabs>
              <w:tab w:val="right" w:leader="dot" w:pos="9405"/>
            </w:tabs>
          </w:pPr>
          <w:hyperlink w:anchor="_Toc5699">
            <w:r>
              <w:t>5.  SANCTIONS</w:t>
            </w:r>
            <w:r>
              <w:tab/>
            </w:r>
            <w:r>
              <w:fldChar w:fldCharType="begin"/>
            </w:r>
            <w:r>
              <w:instrText>PAGEREF _Toc5699 \h</w:instrText>
            </w:r>
            <w:r>
              <w:fldChar w:fldCharType="separate"/>
            </w:r>
            <w:r>
              <w:t xml:space="preserve">7 </w:t>
            </w:r>
            <w:r>
              <w:fldChar w:fldCharType="end"/>
            </w:r>
          </w:hyperlink>
        </w:p>
        <w:p w14:paraId="5CC15FD0" w14:textId="77777777" w:rsidR="00B047ED" w:rsidRDefault="0043351B">
          <w:pPr>
            <w:pStyle w:val="TOC1"/>
            <w:tabs>
              <w:tab w:val="right" w:leader="dot" w:pos="9405"/>
            </w:tabs>
          </w:pPr>
          <w:hyperlink w:anchor="_Toc5700">
            <w:r>
              <w:t>6. PENALTIES</w:t>
            </w:r>
            <w:r>
              <w:tab/>
            </w:r>
            <w:r>
              <w:fldChar w:fldCharType="begin"/>
            </w:r>
            <w:r>
              <w:instrText>PAGEREF _Toc5700 \h</w:instrText>
            </w:r>
            <w:r>
              <w:fldChar w:fldCharType="separate"/>
            </w:r>
            <w:r>
              <w:t xml:space="preserve">9 </w:t>
            </w:r>
            <w:r>
              <w:fldChar w:fldCharType="end"/>
            </w:r>
          </w:hyperlink>
        </w:p>
        <w:p w14:paraId="018597B1" w14:textId="77777777" w:rsidR="00B047ED" w:rsidRDefault="0043351B">
          <w:r>
            <w:fldChar w:fldCharType="end"/>
          </w:r>
        </w:p>
      </w:sdtContent>
    </w:sdt>
    <w:p w14:paraId="7D190EB4" w14:textId="77777777" w:rsidR="00B047ED" w:rsidRDefault="0043351B">
      <w:pPr>
        <w:spacing w:after="112" w:line="259" w:lineRule="auto"/>
        <w:ind w:left="14" w:firstLine="0"/>
        <w:jc w:val="left"/>
      </w:pPr>
      <w:r>
        <w:t xml:space="preserve"> </w:t>
      </w:r>
    </w:p>
    <w:p w14:paraId="45561271" w14:textId="77777777" w:rsidR="00B047ED" w:rsidRDefault="0043351B">
      <w:pPr>
        <w:spacing w:after="0" w:line="259" w:lineRule="auto"/>
        <w:ind w:left="10" w:firstLine="0"/>
        <w:jc w:val="left"/>
      </w:pPr>
      <w:r>
        <w:t xml:space="preserve"> </w:t>
      </w:r>
      <w:r>
        <w:tab/>
        <w:t xml:space="preserve"> </w:t>
      </w:r>
      <w:r>
        <w:br w:type="page"/>
      </w:r>
    </w:p>
    <w:p w14:paraId="120E5298" w14:textId="77777777" w:rsidR="00B047ED" w:rsidRDefault="0043351B">
      <w:pPr>
        <w:spacing w:after="0" w:line="259" w:lineRule="auto"/>
        <w:ind w:left="0" w:firstLine="0"/>
      </w:pPr>
      <w:r>
        <w:lastRenderedPageBreak/>
        <w:t xml:space="preserve">  </w:t>
      </w:r>
      <w:r>
        <w:tab/>
        <w:t xml:space="preserve"> </w:t>
      </w:r>
      <w:r>
        <w:br w:type="page"/>
      </w:r>
    </w:p>
    <w:p w14:paraId="4A834704" w14:textId="77777777" w:rsidR="00B047ED" w:rsidRDefault="0043351B">
      <w:pPr>
        <w:spacing w:after="223" w:line="259" w:lineRule="auto"/>
        <w:ind w:left="10" w:right="15"/>
        <w:jc w:val="right"/>
      </w:pPr>
      <w:r>
        <w:rPr>
          <w:b/>
        </w:rPr>
        <w:lastRenderedPageBreak/>
        <w:t>FDA/FSMD/GL-FSE/2013/02</w:t>
      </w:r>
      <w:r>
        <w:t xml:space="preserve">  </w:t>
      </w:r>
    </w:p>
    <w:p w14:paraId="29484E54" w14:textId="77777777" w:rsidR="00B047ED" w:rsidRDefault="0043351B">
      <w:pPr>
        <w:spacing w:after="596" w:line="259" w:lineRule="auto"/>
        <w:ind w:left="14" w:firstLine="0"/>
        <w:jc w:val="left"/>
      </w:pPr>
      <w:r>
        <w:rPr>
          <w:rFonts w:ascii="Calibri" w:eastAsia="Calibri" w:hAnsi="Calibri" w:cs="Calibri"/>
          <w:sz w:val="22"/>
        </w:rPr>
        <w:t xml:space="preserve"> </w:t>
      </w:r>
      <w:r>
        <w:t xml:space="preserve"> </w:t>
      </w:r>
    </w:p>
    <w:p w14:paraId="55F1B93E" w14:textId="77777777" w:rsidR="00B047ED" w:rsidRDefault="0043351B">
      <w:pPr>
        <w:pStyle w:val="Heading1"/>
        <w:ind w:left="345" w:hanging="360"/>
      </w:pPr>
      <w:bookmarkStart w:id="1" w:name="_Toc5692"/>
      <w:r>
        <w:t xml:space="preserve">INTRODUCTION  </w:t>
      </w:r>
      <w:bookmarkEnd w:id="1"/>
    </w:p>
    <w:p w14:paraId="355C595D" w14:textId="77777777" w:rsidR="00B047ED" w:rsidRDefault="0043351B">
      <w:pPr>
        <w:spacing w:after="114" w:line="259" w:lineRule="auto"/>
        <w:ind w:left="14" w:firstLine="0"/>
        <w:jc w:val="left"/>
      </w:pPr>
      <w:r>
        <w:rPr>
          <w:sz w:val="23"/>
        </w:rPr>
        <w:t xml:space="preserve"> </w:t>
      </w:r>
      <w:r>
        <w:t xml:space="preserve"> </w:t>
      </w:r>
    </w:p>
    <w:p w14:paraId="32DD1675" w14:textId="77777777" w:rsidR="00B047ED" w:rsidRDefault="0043351B">
      <w:pPr>
        <w:spacing w:after="203"/>
        <w:ind w:left="24" w:right="18"/>
      </w:pPr>
      <w:r>
        <w:rPr>
          <w:sz w:val="22"/>
        </w:rPr>
        <w:t>In exercise of the powers conferred on the FDA by the Public Health Act, 2012, Act 851, Part Seven,</w:t>
      </w:r>
      <w:r>
        <w:t xml:space="preserve"> section 130, these guidelines apply to Dry Food Storage Facilities/Warehouses which are to be established for the of food intended for human consumption.  </w:t>
      </w:r>
    </w:p>
    <w:p w14:paraId="66B35FE4" w14:textId="77777777" w:rsidR="00B047ED" w:rsidRDefault="0043351B">
      <w:pPr>
        <w:spacing w:after="202"/>
        <w:ind w:left="24" w:right="18"/>
      </w:pPr>
      <w:r>
        <w:t xml:space="preserve">Notwithstanding the above, all prepackaged food products to be stored shall comply with existing Ghana Standards.   </w:t>
      </w:r>
    </w:p>
    <w:p w14:paraId="0A72A26C" w14:textId="77777777" w:rsidR="00B047ED" w:rsidRDefault="0043351B">
      <w:pPr>
        <w:spacing w:after="309" w:line="259" w:lineRule="auto"/>
        <w:ind w:left="14" w:firstLine="0"/>
        <w:jc w:val="left"/>
      </w:pPr>
      <w:r>
        <w:t xml:space="preserve">  </w:t>
      </w:r>
    </w:p>
    <w:p w14:paraId="6ACDAE9F" w14:textId="77777777" w:rsidR="00B047ED" w:rsidRDefault="0043351B">
      <w:pPr>
        <w:spacing w:after="214"/>
        <w:ind w:left="24" w:right="18"/>
      </w:pPr>
      <w:r>
        <w:t>The purpose of this guideline is to provide food warehouse operators with the Food and Drugs Authority’s (FDA) requirements for licensin</w:t>
      </w:r>
      <w:r>
        <w:t xml:space="preserve">g of food storage facilities.  </w:t>
      </w:r>
    </w:p>
    <w:p w14:paraId="6FB0FC1A" w14:textId="77777777" w:rsidR="00B047ED" w:rsidRDefault="0043351B">
      <w:pPr>
        <w:spacing w:after="326" w:line="259" w:lineRule="auto"/>
        <w:ind w:left="14" w:firstLine="0"/>
        <w:jc w:val="left"/>
      </w:pPr>
      <w:r>
        <w:rPr>
          <w:rFonts w:ascii="Calibri" w:eastAsia="Calibri" w:hAnsi="Calibri" w:cs="Calibri"/>
        </w:rPr>
        <w:t xml:space="preserve"> </w:t>
      </w:r>
      <w:r>
        <w:t xml:space="preserve"> </w:t>
      </w:r>
    </w:p>
    <w:p w14:paraId="73C4527A" w14:textId="77777777" w:rsidR="00B047ED" w:rsidRDefault="0043351B">
      <w:pPr>
        <w:spacing w:after="0" w:line="259" w:lineRule="auto"/>
        <w:ind w:left="14" w:firstLine="0"/>
        <w:jc w:val="left"/>
      </w:pPr>
      <w:r>
        <w:rPr>
          <w:rFonts w:ascii="Calibri" w:eastAsia="Calibri" w:hAnsi="Calibri" w:cs="Calibri"/>
        </w:rPr>
        <w:t xml:space="preserve"> </w:t>
      </w:r>
      <w:r>
        <w:t xml:space="preserve"> </w:t>
      </w:r>
    </w:p>
    <w:p w14:paraId="4D9CF4DA" w14:textId="77777777" w:rsidR="00B047ED" w:rsidRDefault="0043351B">
      <w:pPr>
        <w:spacing w:after="47" w:line="259" w:lineRule="auto"/>
        <w:ind w:left="0" w:right="228" w:firstLine="0"/>
        <w:jc w:val="right"/>
      </w:pPr>
      <w:r>
        <w:rPr>
          <w:rFonts w:ascii="Calibri" w:eastAsia="Calibri" w:hAnsi="Calibri" w:cs="Calibri"/>
          <w:sz w:val="22"/>
        </w:rPr>
        <w:t xml:space="preserve"> </w:t>
      </w:r>
      <w:r>
        <w:t xml:space="preserve"> </w:t>
      </w:r>
    </w:p>
    <w:p w14:paraId="196A23A4" w14:textId="77777777" w:rsidR="00B047ED" w:rsidRDefault="0043351B">
      <w:pPr>
        <w:spacing w:after="16" w:line="259" w:lineRule="auto"/>
        <w:ind w:left="0" w:firstLine="0"/>
        <w:jc w:val="right"/>
      </w:pPr>
      <w:r>
        <w:rPr>
          <w:rFonts w:ascii="Calibri" w:eastAsia="Calibri" w:hAnsi="Calibri" w:cs="Calibri"/>
          <w:noProof/>
          <w:sz w:val="22"/>
        </w:rPr>
        <mc:AlternateContent>
          <mc:Choice Requires="wpg">
            <w:drawing>
              <wp:inline distT="0" distB="0" distL="0" distR="0" wp14:anchorId="343916DA" wp14:editId="0D2E6D9C">
                <wp:extent cx="5924550" cy="57150"/>
                <wp:effectExtent l="0" t="0" r="0" b="0"/>
                <wp:docPr id="4924" name="Group 4924"/>
                <wp:cNvGraphicFramePr/>
                <a:graphic xmlns:a="http://schemas.openxmlformats.org/drawingml/2006/main">
                  <a:graphicData uri="http://schemas.microsoft.com/office/word/2010/wordprocessingGroup">
                    <wpg:wgp>
                      <wpg:cNvGrpSpPr/>
                      <wpg:grpSpPr>
                        <a:xfrm>
                          <a:off x="0" y="0"/>
                          <a:ext cx="5924550" cy="57150"/>
                          <a:chOff x="0" y="0"/>
                          <a:chExt cx="5924550" cy="57150"/>
                        </a:xfrm>
                      </wpg:grpSpPr>
                      <wps:wsp>
                        <wps:cNvPr id="5874" name="Shape 5874"/>
                        <wps:cNvSpPr/>
                        <wps:spPr>
                          <a:xfrm>
                            <a:off x="0" y="45720"/>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5875" name="Shape 5875"/>
                        <wps:cNvSpPr/>
                        <wps:spPr>
                          <a:xfrm>
                            <a:off x="0" y="0"/>
                            <a:ext cx="5924550" cy="34289"/>
                          </a:xfrm>
                          <a:custGeom>
                            <a:avLst/>
                            <a:gdLst/>
                            <a:ahLst/>
                            <a:cxnLst/>
                            <a:rect l="0" t="0" r="0" b="0"/>
                            <a:pathLst>
                              <a:path w="5924550" h="34289">
                                <a:moveTo>
                                  <a:pt x="0" y="0"/>
                                </a:moveTo>
                                <a:lnTo>
                                  <a:pt x="5924550" y="0"/>
                                </a:lnTo>
                                <a:lnTo>
                                  <a:pt x="5924550" y="34289"/>
                                </a:lnTo>
                                <a:lnTo>
                                  <a:pt x="0" y="34289"/>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inline>
            </w:drawing>
          </mc:Choice>
          <mc:Fallback xmlns:a="http://schemas.openxmlformats.org/drawingml/2006/main">
            <w:pict>
              <v:group id="Group 4924" style="width:466.5pt;height:4.5pt;mso-position-horizontal-relative:char;mso-position-vertical-relative:line" coordsize="59245,571">
                <v:shape id="Shape 5876" style="position:absolute;width:59245;height:114;left:0;top:457;" coordsize="5924550,11430" path="m0,0l5924550,0l5924550,11430l0,11430l0,0">
                  <v:stroke weight="0pt" endcap="flat" joinstyle="miter" miterlimit="10" on="false" color="#000000" opacity="0"/>
                  <v:fill on="true" color="#993300"/>
                </v:shape>
                <v:shape id="Shape 5877" style="position:absolute;width:59245;height:342;left:0;top:0;" coordsize="5924550,34289" path="m0,0l5924550,0l5924550,34289l0,34289l0,0">
                  <v:stroke weight="0pt" endcap="flat" joinstyle="miter" miterlimit="10" on="false" color="#000000" opacity="0"/>
                  <v:fill on="true" color="#993300"/>
                </v:shape>
              </v:group>
            </w:pict>
          </mc:Fallback>
        </mc:AlternateContent>
      </w:r>
      <w:r>
        <w:t xml:space="preserve"> </w:t>
      </w:r>
    </w:p>
    <w:p w14:paraId="17E61941" w14:textId="77777777" w:rsidR="00B047ED" w:rsidRDefault="0043351B">
      <w:pPr>
        <w:spacing w:after="265" w:line="259" w:lineRule="auto"/>
        <w:ind w:left="10" w:right="14"/>
        <w:jc w:val="right"/>
      </w:pPr>
      <w:r>
        <w:t xml:space="preserve">Page 3 of 8  </w:t>
      </w:r>
    </w:p>
    <w:p w14:paraId="7163A1CF" w14:textId="77777777" w:rsidR="00B047ED" w:rsidRDefault="0043351B">
      <w:pPr>
        <w:pStyle w:val="Heading1"/>
        <w:ind w:left="345" w:hanging="360"/>
      </w:pPr>
      <w:bookmarkStart w:id="2" w:name="_Toc5693"/>
      <w:r>
        <w:t xml:space="preserve">GLOSSARY  </w:t>
      </w:r>
      <w:bookmarkEnd w:id="2"/>
    </w:p>
    <w:p w14:paraId="1643822E" w14:textId="77777777" w:rsidR="00B047ED" w:rsidRDefault="0043351B">
      <w:pPr>
        <w:spacing w:after="172" w:line="259" w:lineRule="auto"/>
        <w:ind w:left="734" w:firstLine="0"/>
        <w:jc w:val="left"/>
      </w:pPr>
      <w:r>
        <w:t xml:space="preserve">  </w:t>
      </w:r>
    </w:p>
    <w:p w14:paraId="36E5DB7B" w14:textId="77777777" w:rsidR="00B047ED" w:rsidRDefault="0043351B">
      <w:pPr>
        <w:spacing w:after="108" w:line="259" w:lineRule="auto"/>
        <w:ind w:left="144" w:right="18"/>
      </w:pPr>
      <w:r>
        <w:t xml:space="preserve">For the purpose of these guidelines the following definitions shall apply:   </w:t>
      </w:r>
    </w:p>
    <w:p w14:paraId="2B21BD13" w14:textId="77777777" w:rsidR="00B047ED" w:rsidRDefault="0043351B">
      <w:pPr>
        <w:spacing w:after="146" w:line="259" w:lineRule="auto"/>
        <w:ind w:left="134" w:firstLine="0"/>
        <w:jc w:val="left"/>
      </w:pPr>
      <w:r>
        <w:t xml:space="preserve">  </w:t>
      </w:r>
    </w:p>
    <w:p w14:paraId="485F4F01" w14:textId="77777777" w:rsidR="00B047ED" w:rsidRDefault="0043351B">
      <w:pPr>
        <w:ind w:left="144" w:right="966"/>
      </w:pPr>
      <w:r>
        <w:rPr>
          <w:b/>
          <w:i/>
        </w:rPr>
        <w:t>“Food storage warehouse”</w:t>
      </w:r>
      <w:r>
        <w:t xml:space="preserve"> </w:t>
      </w:r>
      <w:r>
        <w:t>means any premises, establishment, building, room area, facility, or place, where food is stored, kept, or held for wholesale distribution to other wholesalers or to retail outlets, and any such other facility selling or distributing to the ultimate consum</w:t>
      </w:r>
      <w:r>
        <w:t xml:space="preserve">er. Food storage warehouses include facilities where food is stored to the account of another firm (rented warehouse) and/or is owned by the food storage warehouse.   </w:t>
      </w:r>
    </w:p>
    <w:p w14:paraId="0B66AFAF" w14:textId="77777777" w:rsidR="00B047ED" w:rsidRDefault="0043351B">
      <w:pPr>
        <w:spacing w:after="144" w:line="259" w:lineRule="auto"/>
        <w:ind w:left="134" w:firstLine="0"/>
        <w:jc w:val="left"/>
      </w:pPr>
      <w:r>
        <w:rPr>
          <w:b/>
          <w:i/>
        </w:rPr>
        <w:t xml:space="preserve"> </w:t>
      </w:r>
      <w:r>
        <w:t xml:space="preserve"> </w:t>
      </w:r>
    </w:p>
    <w:p w14:paraId="7D6E89A3" w14:textId="77777777" w:rsidR="00B047ED" w:rsidRDefault="0043351B">
      <w:pPr>
        <w:ind w:left="144" w:right="975"/>
      </w:pPr>
      <w:r>
        <w:rPr>
          <w:b/>
          <w:i/>
        </w:rPr>
        <w:lastRenderedPageBreak/>
        <w:t>“Dry Food storage warehouse”</w:t>
      </w:r>
      <w:r>
        <w:t xml:space="preserve"> does not include facilities where food is kept or held </w:t>
      </w:r>
      <w:r>
        <w:rPr>
          <w:b/>
          <w:i/>
        </w:rPr>
        <w:t>r</w:t>
      </w:r>
      <w:r>
        <w:rPr>
          <w:b/>
          <w:i/>
        </w:rPr>
        <w:t>efrigerated</w:t>
      </w:r>
      <w:r>
        <w:t xml:space="preserve"> or </w:t>
      </w:r>
      <w:r>
        <w:rPr>
          <w:b/>
        </w:rPr>
        <w:t>frozen</w:t>
      </w:r>
      <w:r>
        <w:t xml:space="preserve">, grain elevators or fruit and vegetable storage and packing houses that store, pack, and ship fresh fruit and vegetables.  </w:t>
      </w:r>
    </w:p>
    <w:p w14:paraId="14A333D8" w14:textId="77777777" w:rsidR="00B047ED" w:rsidRDefault="0043351B">
      <w:pPr>
        <w:spacing w:after="187" w:line="259" w:lineRule="auto"/>
        <w:ind w:left="134" w:firstLine="0"/>
        <w:jc w:val="left"/>
      </w:pPr>
      <w:r>
        <w:t xml:space="preserve">   </w:t>
      </w:r>
    </w:p>
    <w:p w14:paraId="5408A23C" w14:textId="77777777" w:rsidR="00B047ED" w:rsidRDefault="0043351B">
      <w:pPr>
        <w:ind w:left="144" w:right="18"/>
      </w:pPr>
      <w:r>
        <w:t>“</w:t>
      </w:r>
      <w:r>
        <w:rPr>
          <w:b/>
          <w:i/>
        </w:rPr>
        <w:t>Prepackaged food</w:t>
      </w:r>
      <w:r>
        <w:t xml:space="preserve">” means a food substance packaged or made up in advance in a container, ready for offer to the consumer, or for catering purposes.   </w:t>
      </w:r>
    </w:p>
    <w:p w14:paraId="6A44BD8C" w14:textId="77777777" w:rsidR="00B047ED" w:rsidRDefault="0043351B">
      <w:pPr>
        <w:spacing w:after="132" w:line="259" w:lineRule="auto"/>
        <w:ind w:left="134" w:firstLine="0"/>
        <w:jc w:val="left"/>
      </w:pPr>
      <w:r>
        <w:t xml:space="preserve">   </w:t>
      </w:r>
    </w:p>
    <w:p w14:paraId="6A289752" w14:textId="77777777" w:rsidR="00B047ED" w:rsidRDefault="0043351B">
      <w:pPr>
        <w:ind w:left="144" w:right="18"/>
      </w:pPr>
      <w:r>
        <w:rPr>
          <w:b/>
          <w:i/>
        </w:rPr>
        <w:t xml:space="preserve">“Requirements” </w:t>
      </w:r>
      <w:r>
        <w:t xml:space="preserve">means the criteria relating to trade in food, covering the protection of public health, the protection </w:t>
      </w:r>
      <w:r>
        <w:t xml:space="preserve">of consumers and conditions of fair trade.  </w:t>
      </w:r>
    </w:p>
    <w:p w14:paraId="32422179" w14:textId="77777777" w:rsidR="00B047ED" w:rsidRDefault="0043351B">
      <w:pPr>
        <w:spacing w:after="108" w:line="259" w:lineRule="auto"/>
        <w:ind w:left="134" w:firstLine="0"/>
        <w:jc w:val="left"/>
      </w:pPr>
      <w:r>
        <w:t xml:space="preserve">  </w:t>
      </w:r>
    </w:p>
    <w:p w14:paraId="2E0ADC06" w14:textId="77777777" w:rsidR="00B047ED" w:rsidRDefault="0043351B">
      <w:pPr>
        <w:spacing w:after="112" w:line="259" w:lineRule="auto"/>
        <w:ind w:left="134" w:firstLine="0"/>
        <w:jc w:val="left"/>
      </w:pPr>
      <w:r>
        <w:t xml:space="preserve">  </w:t>
      </w:r>
    </w:p>
    <w:p w14:paraId="71A7AD71" w14:textId="77777777" w:rsidR="00B047ED" w:rsidRDefault="0043351B">
      <w:pPr>
        <w:spacing w:after="111" w:line="259" w:lineRule="auto"/>
        <w:ind w:left="134" w:firstLine="0"/>
        <w:jc w:val="left"/>
      </w:pPr>
      <w:r>
        <w:t xml:space="preserve">  </w:t>
      </w:r>
    </w:p>
    <w:p w14:paraId="48B5AB08" w14:textId="77777777" w:rsidR="00B047ED" w:rsidRDefault="0043351B">
      <w:pPr>
        <w:spacing w:after="112" w:line="259" w:lineRule="auto"/>
        <w:ind w:left="134" w:firstLine="0"/>
        <w:jc w:val="left"/>
      </w:pPr>
      <w:r>
        <w:t xml:space="preserve">  </w:t>
      </w:r>
    </w:p>
    <w:p w14:paraId="7C6F29CB" w14:textId="77777777" w:rsidR="00B047ED" w:rsidRDefault="0043351B">
      <w:pPr>
        <w:spacing w:after="110" w:line="259" w:lineRule="auto"/>
        <w:ind w:left="134" w:firstLine="0"/>
        <w:jc w:val="left"/>
      </w:pPr>
      <w:r>
        <w:t xml:space="preserve">  </w:t>
      </w:r>
    </w:p>
    <w:p w14:paraId="4FA3536C" w14:textId="77777777" w:rsidR="00B047ED" w:rsidRDefault="0043351B">
      <w:pPr>
        <w:spacing w:after="112" w:line="259" w:lineRule="auto"/>
        <w:ind w:left="134" w:firstLine="0"/>
        <w:jc w:val="left"/>
      </w:pPr>
      <w:r>
        <w:t xml:space="preserve">  </w:t>
      </w:r>
    </w:p>
    <w:p w14:paraId="47C427AE" w14:textId="77777777" w:rsidR="00B047ED" w:rsidRDefault="0043351B">
      <w:pPr>
        <w:spacing w:after="110" w:line="259" w:lineRule="auto"/>
        <w:ind w:left="134" w:firstLine="0"/>
        <w:jc w:val="left"/>
      </w:pPr>
      <w:r>
        <w:t xml:space="preserve">  </w:t>
      </w:r>
    </w:p>
    <w:p w14:paraId="4B33290F" w14:textId="77777777" w:rsidR="00B047ED" w:rsidRDefault="0043351B">
      <w:pPr>
        <w:spacing w:after="108" w:line="259" w:lineRule="auto"/>
        <w:ind w:left="134" w:firstLine="0"/>
        <w:jc w:val="left"/>
      </w:pPr>
      <w:r>
        <w:t xml:space="preserve">  </w:t>
      </w:r>
    </w:p>
    <w:p w14:paraId="04BAFF0B" w14:textId="77777777" w:rsidR="00B047ED" w:rsidRDefault="0043351B">
      <w:pPr>
        <w:spacing w:after="112" w:line="259" w:lineRule="auto"/>
        <w:ind w:left="134" w:firstLine="0"/>
        <w:jc w:val="left"/>
      </w:pPr>
      <w:r>
        <w:t xml:space="preserve">  </w:t>
      </w:r>
    </w:p>
    <w:p w14:paraId="14D6ED44" w14:textId="77777777" w:rsidR="00B047ED" w:rsidRDefault="0043351B">
      <w:pPr>
        <w:spacing w:after="0" w:line="259" w:lineRule="auto"/>
        <w:ind w:left="134" w:firstLine="0"/>
        <w:jc w:val="left"/>
      </w:pPr>
      <w:r>
        <w:t xml:space="preserve">  </w:t>
      </w:r>
    </w:p>
    <w:p w14:paraId="1458F9E3" w14:textId="77777777" w:rsidR="00B047ED" w:rsidRDefault="0043351B">
      <w:pPr>
        <w:pStyle w:val="Heading1"/>
        <w:ind w:left="345" w:hanging="360"/>
      </w:pPr>
      <w:bookmarkStart w:id="3" w:name="_Toc5694"/>
      <w:r>
        <w:t xml:space="preserve">REQUIREMENTS  </w:t>
      </w:r>
      <w:bookmarkEnd w:id="3"/>
    </w:p>
    <w:p w14:paraId="34772513" w14:textId="77777777" w:rsidR="00B047ED" w:rsidRDefault="0043351B">
      <w:pPr>
        <w:pStyle w:val="Heading2"/>
        <w:spacing w:after="175"/>
        <w:ind w:left="758" w:hanging="502"/>
      </w:pPr>
      <w:bookmarkStart w:id="4" w:name="_Toc5695"/>
      <w:r>
        <w:t xml:space="preserve">GENERAL REQUIREMENTS   </w:t>
      </w:r>
      <w:bookmarkEnd w:id="4"/>
    </w:p>
    <w:p w14:paraId="59D618CD" w14:textId="77777777" w:rsidR="00B047ED" w:rsidRDefault="0043351B">
      <w:pPr>
        <w:spacing w:after="202"/>
        <w:ind w:left="744" w:right="18"/>
      </w:pPr>
      <w:r>
        <w:t xml:space="preserve">No firm or individual shall sell, offer for sale or distribute food from or stored in a food storage warehouse without first having obtained an annual </w:t>
      </w:r>
      <w:proofErr w:type="spellStart"/>
      <w:r>
        <w:t>Licence</w:t>
      </w:r>
      <w:proofErr w:type="spellEnd"/>
      <w:r>
        <w:t xml:space="preserve"> from the Food and Drugs Authority.   </w:t>
      </w:r>
    </w:p>
    <w:p w14:paraId="05825495" w14:textId="77777777" w:rsidR="00B047ED" w:rsidRDefault="0043351B">
      <w:pPr>
        <w:spacing w:after="363" w:line="259" w:lineRule="auto"/>
        <w:ind w:left="14" w:firstLine="0"/>
        <w:jc w:val="left"/>
      </w:pPr>
      <w:r>
        <w:t xml:space="preserve">  </w:t>
      </w:r>
    </w:p>
    <w:p w14:paraId="73F37F04" w14:textId="77777777" w:rsidR="00B047ED" w:rsidRDefault="0043351B">
      <w:pPr>
        <w:pStyle w:val="Heading2"/>
        <w:ind w:left="688" w:hanging="432"/>
      </w:pPr>
      <w:bookmarkStart w:id="5" w:name="_Toc5696"/>
      <w:r>
        <w:t xml:space="preserve">SPECIFIC REQUIREMENTS  </w:t>
      </w:r>
      <w:bookmarkEnd w:id="5"/>
    </w:p>
    <w:p w14:paraId="5F5CA0B5" w14:textId="77777777" w:rsidR="00B047ED" w:rsidRDefault="0043351B">
      <w:pPr>
        <w:ind w:left="1166" w:right="18" w:hanging="900"/>
      </w:pPr>
      <w:r>
        <w:t>3.2.1.</w:t>
      </w:r>
      <w:r>
        <w:rPr>
          <w:rFonts w:ascii="Arial" w:eastAsia="Arial" w:hAnsi="Arial" w:cs="Arial"/>
        </w:rPr>
        <w:t xml:space="preserve">  </w:t>
      </w:r>
      <w:r>
        <w:rPr>
          <w:rFonts w:ascii="Arial" w:eastAsia="Arial" w:hAnsi="Arial" w:cs="Arial"/>
        </w:rPr>
        <w:tab/>
      </w:r>
      <w:r>
        <w:t>The company shall satis</w:t>
      </w:r>
      <w:r>
        <w:t xml:space="preserve">fy the requirements in the Code of Practice for the Storage of Food Products in a Dry Warehouse.  </w:t>
      </w:r>
    </w:p>
    <w:p w14:paraId="7F8E1B17" w14:textId="77777777" w:rsidR="00B047ED" w:rsidRDefault="0043351B">
      <w:pPr>
        <w:ind w:left="1166" w:right="18" w:hanging="900"/>
      </w:pPr>
      <w:r>
        <w:t>3.2.2.</w:t>
      </w:r>
      <w:r>
        <w:rPr>
          <w:rFonts w:ascii="Arial" w:eastAsia="Arial" w:hAnsi="Arial" w:cs="Arial"/>
        </w:rPr>
        <w:t xml:space="preserve"> </w:t>
      </w:r>
      <w:r>
        <w:t xml:space="preserve">Application for annual warehouse licensing or renewal of warehouse licensing shall               include the following:   </w:t>
      </w:r>
    </w:p>
    <w:p w14:paraId="09B22B4F" w14:textId="77777777" w:rsidR="00B047ED" w:rsidRDefault="0043351B">
      <w:pPr>
        <w:numPr>
          <w:ilvl w:val="0"/>
          <w:numId w:val="1"/>
        </w:numPr>
        <w:spacing w:after="314" w:line="259" w:lineRule="auto"/>
        <w:ind w:right="18" w:hanging="360"/>
      </w:pPr>
      <w:r>
        <w:t>A letter for the intended p</w:t>
      </w:r>
      <w:r>
        <w:t xml:space="preserve">urpose addressed to:    </w:t>
      </w:r>
    </w:p>
    <w:p w14:paraId="1334232F" w14:textId="77777777" w:rsidR="00B047ED" w:rsidRDefault="0043351B">
      <w:pPr>
        <w:spacing w:after="111" w:line="259" w:lineRule="auto"/>
        <w:ind w:left="1795"/>
        <w:jc w:val="left"/>
      </w:pPr>
      <w:r>
        <w:rPr>
          <w:b/>
        </w:rPr>
        <w:t xml:space="preserve">THE CHIEF EXECUTIVE  </w:t>
      </w:r>
      <w:r>
        <w:t xml:space="preserve"> </w:t>
      </w:r>
    </w:p>
    <w:p w14:paraId="52367F5D" w14:textId="77777777" w:rsidR="00B047ED" w:rsidRDefault="0043351B">
      <w:pPr>
        <w:spacing w:after="111" w:line="259" w:lineRule="auto"/>
        <w:ind w:left="1795"/>
        <w:jc w:val="left"/>
      </w:pPr>
      <w:r>
        <w:rPr>
          <w:b/>
        </w:rPr>
        <w:t xml:space="preserve">FOOD AND DRUGS AUTHORITY   </w:t>
      </w:r>
      <w:r>
        <w:t xml:space="preserve"> </w:t>
      </w:r>
    </w:p>
    <w:p w14:paraId="0FC102F5" w14:textId="77777777" w:rsidR="00B047ED" w:rsidRDefault="0043351B">
      <w:pPr>
        <w:spacing w:after="111" w:line="259" w:lineRule="auto"/>
        <w:ind w:left="1795"/>
        <w:jc w:val="left"/>
      </w:pPr>
      <w:r>
        <w:rPr>
          <w:b/>
        </w:rPr>
        <w:lastRenderedPageBreak/>
        <w:t xml:space="preserve">P. O. BOX CT 2783  </w:t>
      </w:r>
      <w:r>
        <w:t xml:space="preserve"> </w:t>
      </w:r>
    </w:p>
    <w:p w14:paraId="7A9B2141" w14:textId="77777777" w:rsidR="00B047ED" w:rsidRDefault="0043351B">
      <w:pPr>
        <w:spacing w:after="313" w:line="259" w:lineRule="auto"/>
        <w:ind w:left="1795"/>
        <w:jc w:val="left"/>
      </w:pPr>
      <w:r>
        <w:rPr>
          <w:b/>
        </w:rPr>
        <w:t xml:space="preserve">CANTONMENTS, ACCRA </w:t>
      </w:r>
      <w:r>
        <w:t xml:space="preserve"> </w:t>
      </w:r>
    </w:p>
    <w:p w14:paraId="2C57B9EB" w14:textId="77777777" w:rsidR="00B047ED" w:rsidRDefault="0043351B">
      <w:pPr>
        <w:numPr>
          <w:ilvl w:val="0"/>
          <w:numId w:val="1"/>
        </w:numPr>
        <w:spacing w:after="205"/>
        <w:ind w:right="18" w:hanging="360"/>
      </w:pPr>
      <w:r>
        <w:t xml:space="preserve">The letter shall be accompanied with a completed </w:t>
      </w:r>
      <w:r>
        <w:rPr>
          <w:b/>
          <w:i/>
        </w:rPr>
        <w:t>Dry Food Storage Facility License Application Form</w:t>
      </w:r>
      <w:r>
        <w:rPr>
          <w:i/>
        </w:rPr>
        <w:t xml:space="preserve"> (</w:t>
      </w:r>
      <w:r>
        <w:rPr>
          <w:b/>
          <w:i/>
        </w:rPr>
        <w:t>FDA/FID/FM-DFW/2013/07</w:t>
      </w:r>
      <w:r>
        <w:rPr>
          <w:b/>
        </w:rPr>
        <w:t xml:space="preserve">) </w:t>
      </w:r>
      <w:r>
        <w:t>and a wareho</w:t>
      </w:r>
      <w:r>
        <w:t>use licensing fee as stipulated in FDA Fee Schedule.</w:t>
      </w:r>
      <w:r>
        <w:rPr>
          <w:b/>
        </w:rPr>
        <w:t xml:space="preserve"> </w:t>
      </w:r>
      <w:r>
        <w:t xml:space="preserve"> </w:t>
      </w:r>
    </w:p>
    <w:p w14:paraId="3C84373A" w14:textId="77777777" w:rsidR="00B047ED" w:rsidRDefault="0043351B">
      <w:pPr>
        <w:ind w:left="1166" w:right="18" w:hanging="900"/>
      </w:pPr>
      <w:r>
        <w:rPr>
          <w:b/>
          <w:i/>
        </w:rPr>
        <w:t>3.2.3.</w:t>
      </w:r>
      <w:r>
        <w:rPr>
          <w:rFonts w:ascii="Arial" w:eastAsia="Arial" w:hAnsi="Arial" w:cs="Arial"/>
          <w:b/>
          <w:i/>
        </w:rPr>
        <w:t xml:space="preserve"> </w:t>
      </w:r>
      <w:r>
        <w:t xml:space="preserve">An inspection of the facility shall be conducted by the FDA to ascertain compliance with the currents </w:t>
      </w:r>
      <w:r>
        <w:rPr>
          <w:b/>
          <w:i/>
        </w:rPr>
        <w:t xml:space="preserve">Codes of Practice for the Storage of Prepackaged Food in a Dry Warehouse. </w:t>
      </w:r>
      <w:r>
        <w:t xml:space="preserve"> </w:t>
      </w:r>
    </w:p>
    <w:p w14:paraId="37477128" w14:textId="77777777" w:rsidR="00B047ED" w:rsidRDefault="0043351B">
      <w:pPr>
        <w:ind w:left="1166" w:right="18" w:hanging="900"/>
      </w:pPr>
      <w:r>
        <w:t>3.2.4.</w:t>
      </w:r>
      <w:r>
        <w:rPr>
          <w:rFonts w:ascii="Arial" w:eastAsia="Arial" w:hAnsi="Arial" w:cs="Arial"/>
        </w:rPr>
        <w:t xml:space="preserve"> </w:t>
      </w:r>
      <w:r>
        <w:t>Any dry f</w:t>
      </w:r>
      <w:r>
        <w:t xml:space="preserve">ood storage warehouse found not to be in substantial compliance with the current Codes of Good Warehouse Practices shall be re-inspected as deemed necessary by the FDA to determine compliance with corrective actions recommended. This does not preclude the </w:t>
      </w:r>
      <w:r>
        <w:t xml:space="preserve">FDA from using any other remedies as provided under the Public Health Act 2012, (Act 851) Part Seven (7) to gain compliance or to embargo food products to protect public health and safety.  </w:t>
      </w:r>
    </w:p>
    <w:p w14:paraId="4ACCD124" w14:textId="77777777" w:rsidR="00B047ED" w:rsidRDefault="0043351B">
      <w:pPr>
        <w:spacing w:after="0" w:line="259" w:lineRule="auto"/>
        <w:ind w:left="1166" w:firstLine="0"/>
        <w:jc w:val="left"/>
      </w:pPr>
      <w:r>
        <w:t xml:space="preserve">  </w:t>
      </w:r>
    </w:p>
    <w:p w14:paraId="2E80221A" w14:textId="77777777" w:rsidR="00B047ED" w:rsidRDefault="0043351B">
      <w:pPr>
        <w:pStyle w:val="Heading2"/>
        <w:ind w:left="688" w:hanging="432"/>
      </w:pPr>
      <w:bookmarkStart w:id="6" w:name="_Toc5697"/>
      <w:r>
        <w:t xml:space="preserve">RENEWAL OF FOOD WAREHOUSE FACILITY LICENCE   </w:t>
      </w:r>
      <w:bookmarkEnd w:id="6"/>
    </w:p>
    <w:p w14:paraId="04A918FD" w14:textId="77777777" w:rsidR="00B047ED" w:rsidRDefault="0043351B">
      <w:pPr>
        <w:spacing w:after="202"/>
        <w:ind w:left="1274" w:right="18" w:hanging="900"/>
      </w:pPr>
      <w:r>
        <w:t xml:space="preserve">3.3.1.     The license shall be valid for a period of one (1) year with the expiry date indicated on the certificate that shall be issued.  </w:t>
      </w:r>
    </w:p>
    <w:p w14:paraId="663057B5" w14:textId="77777777" w:rsidR="00B047ED" w:rsidRDefault="0043351B">
      <w:pPr>
        <w:spacing w:after="202"/>
        <w:ind w:left="1274" w:right="18" w:hanging="900"/>
      </w:pPr>
      <w:r>
        <w:t xml:space="preserve">3.3.2.      If the application for renewal of the warehouse </w:t>
      </w:r>
      <w:proofErr w:type="spellStart"/>
      <w:r>
        <w:t>licence</w:t>
      </w:r>
      <w:proofErr w:type="spellEnd"/>
      <w:r>
        <w:t xml:space="preserve"> p</w:t>
      </w:r>
      <w:r>
        <w:t xml:space="preserve">rovided for under </w:t>
      </w:r>
      <w:proofErr w:type="gramStart"/>
      <w:r>
        <w:t>this guidelines</w:t>
      </w:r>
      <w:proofErr w:type="gramEnd"/>
      <w:r>
        <w:t xml:space="preserve"> is not filed prior to the expiration date.  </w:t>
      </w:r>
    </w:p>
    <w:p w14:paraId="67A1A4A0" w14:textId="77777777" w:rsidR="00B047ED" w:rsidRDefault="0043351B">
      <w:pPr>
        <w:spacing w:after="679" w:line="259" w:lineRule="auto"/>
        <w:ind w:left="14" w:firstLine="0"/>
        <w:jc w:val="left"/>
      </w:pPr>
      <w:r>
        <w:t xml:space="preserve">  </w:t>
      </w:r>
    </w:p>
    <w:p w14:paraId="3F358137" w14:textId="77777777" w:rsidR="00B047ED" w:rsidRDefault="0043351B">
      <w:pPr>
        <w:pStyle w:val="Heading1"/>
        <w:ind w:left="374" w:hanging="360"/>
      </w:pPr>
      <w:bookmarkStart w:id="7" w:name="_Toc5698"/>
      <w:r>
        <w:rPr>
          <w:sz w:val="26"/>
        </w:rPr>
        <w:t xml:space="preserve">TIMELINES </w:t>
      </w:r>
      <w:r>
        <w:t xml:space="preserve"> </w:t>
      </w:r>
      <w:bookmarkEnd w:id="7"/>
    </w:p>
    <w:p w14:paraId="02AAF4D3" w14:textId="77777777" w:rsidR="00B047ED" w:rsidRDefault="0043351B">
      <w:pPr>
        <w:ind w:left="734" w:right="18" w:hanging="360"/>
      </w:pPr>
      <w:r>
        <w:t>4.1</w:t>
      </w:r>
      <w:r>
        <w:rPr>
          <w:rFonts w:ascii="Arial" w:eastAsia="Arial" w:hAnsi="Arial" w:cs="Arial"/>
        </w:rPr>
        <w:t xml:space="preserve"> </w:t>
      </w:r>
      <w:r>
        <w:t xml:space="preserve">The FDA will issue the applicant with a </w:t>
      </w:r>
      <w:r>
        <w:rPr>
          <w:b/>
        </w:rPr>
        <w:t xml:space="preserve">Food Warehouse Facility </w:t>
      </w:r>
      <w:proofErr w:type="spellStart"/>
      <w:r>
        <w:rPr>
          <w:b/>
        </w:rPr>
        <w:t>Licence</w:t>
      </w:r>
      <w:proofErr w:type="spellEnd"/>
      <w:r>
        <w:t xml:space="preserve"> </w:t>
      </w:r>
      <w:r>
        <w:t xml:space="preserve">within Twenty (20) working days of the receipt of the application, provided all requirements have been met.  </w:t>
      </w:r>
    </w:p>
    <w:p w14:paraId="737EEDF5" w14:textId="77777777" w:rsidR="00B047ED" w:rsidRDefault="0043351B">
      <w:pPr>
        <w:ind w:left="734" w:right="18" w:hanging="360"/>
      </w:pPr>
      <w:r>
        <w:t>4.2</w:t>
      </w:r>
      <w:r>
        <w:rPr>
          <w:rFonts w:ascii="Arial" w:eastAsia="Arial" w:hAnsi="Arial" w:cs="Arial"/>
        </w:rPr>
        <w:t xml:space="preserve"> </w:t>
      </w:r>
      <w:r>
        <w:t>Where the Food and Drugs Authority is satisfied that there is the need to license the Food Storage Facility, it shall do so and issue to the a</w:t>
      </w:r>
      <w:r>
        <w:t xml:space="preserve">pplicant a </w:t>
      </w:r>
      <w:r>
        <w:rPr>
          <w:b/>
        </w:rPr>
        <w:t>Dry</w:t>
      </w:r>
      <w:r>
        <w:t xml:space="preserve"> </w:t>
      </w:r>
      <w:r>
        <w:rPr>
          <w:b/>
        </w:rPr>
        <w:t xml:space="preserve">Food Warehouse Facility </w:t>
      </w:r>
      <w:proofErr w:type="spellStart"/>
      <w:r>
        <w:rPr>
          <w:b/>
        </w:rPr>
        <w:t>Licence</w:t>
      </w:r>
      <w:proofErr w:type="spellEnd"/>
      <w:r>
        <w:t xml:space="preserve">, subject to such conditions as may be prescribed by the Food and Drugs Authority from time to time.  </w:t>
      </w:r>
    </w:p>
    <w:p w14:paraId="677BCFC2" w14:textId="77777777" w:rsidR="00B047ED" w:rsidRDefault="0043351B">
      <w:pPr>
        <w:spacing w:after="121" w:line="259" w:lineRule="auto"/>
        <w:ind w:left="384" w:right="18"/>
      </w:pPr>
      <w:r>
        <w:t>4.3</w:t>
      </w:r>
      <w:r>
        <w:rPr>
          <w:rFonts w:ascii="Arial" w:eastAsia="Arial" w:hAnsi="Arial" w:cs="Arial"/>
        </w:rPr>
        <w:t xml:space="preserve"> </w:t>
      </w:r>
      <w:r>
        <w:t xml:space="preserve">The Food and Drugs Authority may defer or reject an application.  </w:t>
      </w:r>
    </w:p>
    <w:p w14:paraId="13DE2AB5" w14:textId="77777777" w:rsidR="00B047ED" w:rsidRDefault="0043351B">
      <w:pPr>
        <w:ind w:left="734" w:right="18" w:hanging="360"/>
      </w:pPr>
      <w:r>
        <w:lastRenderedPageBreak/>
        <w:t>4.4</w:t>
      </w:r>
      <w:r>
        <w:rPr>
          <w:rFonts w:ascii="Arial" w:eastAsia="Arial" w:hAnsi="Arial" w:cs="Arial"/>
        </w:rPr>
        <w:t xml:space="preserve"> </w:t>
      </w:r>
      <w:r>
        <w:t>Applicants shall respond or addr</w:t>
      </w:r>
      <w:r>
        <w:t xml:space="preserve">ess any issues raised concerning their applications within a period of three (3) months of receipt of the notice.  </w:t>
      </w:r>
    </w:p>
    <w:p w14:paraId="4D192471" w14:textId="77777777" w:rsidR="00B047ED" w:rsidRDefault="0043351B">
      <w:pPr>
        <w:ind w:left="734" w:right="18" w:hanging="360"/>
      </w:pPr>
      <w:r>
        <w:t>4.5</w:t>
      </w:r>
      <w:r>
        <w:rPr>
          <w:rFonts w:ascii="Arial" w:eastAsia="Arial" w:hAnsi="Arial" w:cs="Arial"/>
        </w:rPr>
        <w:t xml:space="preserve"> </w:t>
      </w:r>
      <w:r>
        <w:t>If the Food and Drugs Authority does not receive any response within the period specified under 4.4, the applicant shall reapply for lic</w:t>
      </w:r>
      <w:r>
        <w:t xml:space="preserve">ensing.  </w:t>
      </w:r>
    </w:p>
    <w:p w14:paraId="5897CFDA" w14:textId="77777777" w:rsidR="00B047ED" w:rsidRDefault="0043351B">
      <w:pPr>
        <w:ind w:left="734" w:right="18" w:hanging="360"/>
      </w:pPr>
      <w:r>
        <w:t>4.6</w:t>
      </w:r>
      <w:r>
        <w:rPr>
          <w:rFonts w:ascii="Arial" w:eastAsia="Arial" w:hAnsi="Arial" w:cs="Arial"/>
        </w:rPr>
        <w:t xml:space="preserve"> </w:t>
      </w:r>
      <w:r>
        <w:t xml:space="preserve">An appeal for the review of an application may be made in writing to the Minister of Health within thirty (30) days of receipt of the rejection notice.  </w:t>
      </w:r>
    </w:p>
    <w:p w14:paraId="530DBF00" w14:textId="77777777" w:rsidR="00B047ED" w:rsidRDefault="0043351B">
      <w:pPr>
        <w:spacing w:after="667" w:line="259" w:lineRule="auto"/>
        <w:ind w:left="374" w:firstLine="0"/>
        <w:jc w:val="left"/>
      </w:pPr>
      <w:r>
        <w:t xml:space="preserve">   </w:t>
      </w:r>
    </w:p>
    <w:p w14:paraId="516556EA" w14:textId="77777777" w:rsidR="00B047ED" w:rsidRDefault="0043351B">
      <w:pPr>
        <w:pStyle w:val="Heading1"/>
        <w:spacing w:after="44"/>
        <w:ind w:left="374" w:hanging="360"/>
      </w:pPr>
      <w:bookmarkStart w:id="8" w:name="_Toc5699"/>
      <w:r>
        <w:rPr>
          <w:sz w:val="24"/>
        </w:rPr>
        <w:t xml:space="preserve">SANCTIONS  </w:t>
      </w:r>
      <w:r>
        <w:t xml:space="preserve"> </w:t>
      </w:r>
      <w:bookmarkEnd w:id="8"/>
    </w:p>
    <w:p w14:paraId="37C428C6" w14:textId="77777777" w:rsidR="00B047ED" w:rsidRDefault="0043351B">
      <w:pPr>
        <w:spacing w:line="259" w:lineRule="auto"/>
        <w:ind w:left="24" w:right="18"/>
      </w:pPr>
      <w:r>
        <w:rPr>
          <w:sz w:val="20"/>
        </w:rPr>
        <w:t xml:space="preserve"> </w:t>
      </w:r>
      <w:r>
        <w:t xml:space="preserve">“5.1 The Food and Drugs Authority shall cancel, suspend, or withdraw the </w:t>
      </w:r>
      <w:r>
        <w:rPr>
          <w:b/>
          <w:i/>
        </w:rPr>
        <w:t xml:space="preserve">Dry Food Storage </w:t>
      </w:r>
      <w:r>
        <w:t xml:space="preserve"> </w:t>
      </w:r>
    </w:p>
    <w:p w14:paraId="7B5CFEA1" w14:textId="77777777" w:rsidR="00B047ED" w:rsidRDefault="0043351B">
      <w:pPr>
        <w:spacing w:after="212" w:line="259" w:lineRule="auto"/>
        <w:ind w:left="14" w:firstLine="0"/>
        <w:jc w:val="left"/>
      </w:pPr>
      <w:r>
        <w:rPr>
          <w:b/>
          <w:i/>
        </w:rPr>
        <w:t xml:space="preserve">Facility </w:t>
      </w:r>
      <w:proofErr w:type="spellStart"/>
      <w:r>
        <w:rPr>
          <w:b/>
          <w:i/>
        </w:rPr>
        <w:t>Licence</w:t>
      </w:r>
      <w:proofErr w:type="spellEnd"/>
      <w:r>
        <w:rPr>
          <w:b/>
          <w:i/>
        </w:rPr>
        <w:t xml:space="preserve"> </w:t>
      </w:r>
      <w:proofErr w:type="gramStart"/>
      <w:r>
        <w:rPr>
          <w:b/>
          <w:i/>
        </w:rPr>
        <w:t>if:-</w:t>
      </w:r>
      <w:proofErr w:type="gramEnd"/>
      <w:r>
        <w:rPr>
          <w:b/>
          <w:i/>
        </w:rPr>
        <w:t xml:space="preserve"> </w:t>
      </w:r>
      <w:r>
        <w:t xml:space="preserve"> </w:t>
      </w:r>
    </w:p>
    <w:p w14:paraId="39A16A5D" w14:textId="77777777" w:rsidR="00B047ED" w:rsidRDefault="0043351B">
      <w:pPr>
        <w:numPr>
          <w:ilvl w:val="0"/>
          <w:numId w:val="2"/>
        </w:numPr>
        <w:spacing w:after="219" w:line="259" w:lineRule="auto"/>
        <w:ind w:left="693" w:right="18" w:hanging="319"/>
      </w:pPr>
      <w:r>
        <w:t xml:space="preserve">The grounds or circumstance on which it was issued is later found to be false;  </w:t>
      </w:r>
    </w:p>
    <w:p w14:paraId="007A3FA4" w14:textId="77777777" w:rsidR="00B047ED" w:rsidRDefault="0043351B">
      <w:pPr>
        <w:numPr>
          <w:ilvl w:val="0"/>
          <w:numId w:val="2"/>
        </w:numPr>
        <w:spacing w:after="217" w:line="259" w:lineRule="auto"/>
        <w:ind w:left="693" w:right="18" w:hanging="319"/>
      </w:pPr>
      <w:r>
        <w:t>Any of the provisions under which the facility was licensed</w:t>
      </w:r>
      <w:r>
        <w:t xml:space="preserve"> has been contravened; or  </w:t>
      </w:r>
    </w:p>
    <w:p w14:paraId="6CE81F7D" w14:textId="77777777" w:rsidR="00B047ED" w:rsidRDefault="0043351B">
      <w:pPr>
        <w:numPr>
          <w:ilvl w:val="0"/>
          <w:numId w:val="2"/>
        </w:numPr>
        <w:spacing w:line="273" w:lineRule="auto"/>
        <w:ind w:left="693" w:right="18" w:hanging="319"/>
      </w:pPr>
      <w:r>
        <w:t xml:space="preserve">The conditions under which food is stored by the facility could compromise the safety of         the food.  </w:t>
      </w:r>
    </w:p>
    <w:p w14:paraId="200CDEFF" w14:textId="77777777" w:rsidR="00B047ED" w:rsidRDefault="0043351B">
      <w:pPr>
        <w:numPr>
          <w:ilvl w:val="0"/>
          <w:numId w:val="2"/>
        </w:numPr>
        <w:spacing w:after="203" w:line="271" w:lineRule="auto"/>
        <w:ind w:left="693" w:right="18" w:hanging="319"/>
      </w:pPr>
      <w:r>
        <w:t>The FDA is refused access to any portion or area of the food storage warehouse for the purpose of carrying out the prov</w:t>
      </w:r>
      <w:r>
        <w:t xml:space="preserve">isions of this guideline  </w:t>
      </w:r>
    </w:p>
    <w:p w14:paraId="28D3A0E6" w14:textId="77777777" w:rsidR="00B047ED" w:rsidRDefault="0043351B">
      <w:pPr>
        <w:numPr>
          <w:ilvl w:val="0"/>
          <w:numId w:val="2"/>
        </w:numPr>
        <w:spacing w:after="102"/>
        <w:ind w:left="693" w:right="18" w:hanging="319"/>
      </w:pPr>
      <w:r>
        <w:t xml:space="preserve">The FDA is refused access to any records required to be kept under the provisions of this guidelines”  </w:t>
      </w:r>
    </w:p>
    <w:p w14:paraId="59D05D3D" w14:textId="77777777" w:rsidR="00B047ED" w:rsidRDefault="0043351B">
      <w:pPr>
        <w:ind w:left="734" w:right="18" w:hanging="720"/>
      </w:pPr>
      <w:r>
        <w:t xml:space="preserve">  </w:t>
      </w:r>
      <w:proofErr w:type="gramStart"/>
      <w:r>
        <w:t>5.2  Where</w:t>
      </w:r>
      <w:proofErr w:type="gramEnd"/>
      <w:r>
        <w:t xml:space="preserve"> the </w:t>
      </w:r>
      <w:r>
        <w:rPr>
          <w:b/>
        </w:rPr>
        <w:t xml:space="preserve">Dry Food Warehouse Facility </w:t>
      </w:r>
      <w:proofErr w:type="spellStart"/>
      <w:r>
        <w:rPr>
          <w:b/>
        </w:rPr>
        <w:t>Licence</w:t>
      </w:r>
      <w:proofErr w:type="spellEnd"/>
      <w:r>
        <w:t xml:space="preserve"> has been cancelled, suspended or withdrawn, the Food and Drugs Authority</w:t>
      </w:r>
      <w:r>
        <w:t xml:space="preserve"> may notify the public accordingly.  </w:t>
      </w:r>
    </w:p>
    <w:p w14:paraId="2995C427" w14:textId="77777777" w:rsidR="00B047ED" w:rsidRDefault="0043351B">
      <w:pPr>
        <w:spacing w:after="121" w:line="259" w:lineRule="auto"/>
        <w:ind w:left="14" w:firstLine="0"/>
        <w:jc w:val="left"/>
      </w:pPr>
      <w:r>
        <w:t xml:space="preserve">  </w:t>
      </w:r>
    </w:p>
    <w:p w14:paraId="7192E195" w14:textId="77777777" w:rsidR="00B047ED" w:rsidRDefault="0043351B">
      <w:pPr>
        <w:numPr>
          <w:ilvl w:val="1"/>
          <w:numId w:val="3"/>
        </w:numPr>
        <w:spacing w:after="199"/>
        <w:ind w:left="735" w:right="18" w:hanging="550"/>
      </w:pPr>
      <w:r>
        <w:t xml:space="preserve">Whenever a </w:t>
      </w:r>
      <w:proofErr w:type="spellStart"/>
      <w:r>
        <w:t>licence</w:t>
      </w:r>
      <w:proofErr w:type="spellEnd"/>
      <w:r>
        <w:t xml:space="preserve"> is summarily suspended, food distribution operations shall immediately cease. However, the FDA may reinstate the </w:t>
      </w:r>
      <w:proofErr w:type="spellStart"/>
      <w:r>
        <w:t>licence</w:t>
      </w:r>
      <w:proofErr w:type="spellEnd"/>
      <w:r>
        <w:t xml:space="preserve"> if the condition that caused the suspension has been abated to the FDA’s satisfaction.  </w:t>
      </w:r>
    </w:p>
    <w:p w14:paraId="2AE51408" w14:textId="77777777" w:rsidR="00B047ED" w:rsidRDefault="0043351B">
      <w:pPr>
        <w:numPr>
          <w:ilvl w:val="1"/>
          <w:numId w:val="3"/>
        </w:numPr>
        <w:spacing w:after="207"/>
        <w:ind w:left="735" w:right="18" w:hanging="550"/>
      </w:pPr>
      <w:r>
        <w:t xml:space="preserve">Whenever a </w:t>
      </w:r>
      <w:proofErr w:type="spellStart"/>
      <w:r>
        <w:t>licence</w:t>
      </w:r>
      <w:proofErr w:type="spellEnd"/>
      <w:r>
        <w:t xml:space="preserve"> is summa</w:t>
      </w:r>
      <w:r>
        <w:t xml:space="preserve">rily suspended, the holder of the license shall be notified in writing and upon service of the notice, an opportunity for a hearing will be provided.  </w:t>
      </w:r>
    </w:p>
    <w:p w14:paraId="313E36F9" w14:textId="77777777" w:rsidR="00B047ED" w:rsidRDefault="0043351B">
      <w:pPr>
        <w:numPr>
          <w:ilvl w:val="1"/>
          <w:numId w:val="3"/>
        </w:numPr>
        <w:ind w:left="735" w:right="18" w:hanging="550"/>
      </w:pPr>
      <w:r>
        <w:t xml:space="preserve">The Food and Drugs Authority may impose a fine for the breach of </w:t>
      </w:r>
      <w:proofErr w:type="gramStart"/>
      <w:r>
        <w:t>these  guidelines</w:t>
      </w:r>
      <w:proofErr w:type="gramEnd"/>
      <w:r>
        <w:t xml:space="preserve">  in accordance with S</w:t>
      </w:r>
      <w:r>
        <w:t xml:space="preserve">ection 148, Sub-section 4 &amp; 5 of the Public Health Act, 2012, Act 851  </w:t>
      </w:r>
    </w:p>
    <w:p w14:paraId="3ACFAD8C" w14:textId="77777777" w:rsidR="00B047ED" w:rsidRDefault="0043351B">
      <w:pPr>
        <w:spacing w:after="110" w:line="259" w:lineRule="auto"/>
        <w:ind w:left="826" w:firstLine="0"/>
        <w:jc w:val="left"/>
      </w:pPr>
      <w:r>
        <w:rPr>
          <w:color w:val="FF0000"/>
        </w:rPr>
        <w:t xml:space="preserve"> </w:t>
      </w:r>
      <w:r>
        <w:t xml:space="preserve"> </w:t>
      </w:r>
    </w:p>
    <w:p w14:paraId="4C41AB73" w14:textId="77777777" w:rsidR="00B047ED" w:rsidRDefault="0043351B">
      <w:pPr>
        <w:spacing w:after="117" w:line="259" w:lineRule="auto"/>
        <w:ind w:left="826" w:firstLine="0"/>
        <w:jc w:val="left"/>
      </w:pPr>
      <w:r>
        <w:rPr>
          <w:color w:val="FF0000"/>
        </w:rPr>
        <w:t xml:space="preserve"> </w:t>
      </w:r>
      <w:r>
        <w:t xml:space="preserve"> </w:t>
      </w:r>
    </w:p>
    <w:p w14:paraId="0E5B4195" w14:textId="77777777" w:rsidR="00B047ED" w:rsidRDefault="0043351B">
      <w:pPr>
        <w:spacing w:after="310" w:line="259" w:lineRule="auto"/>
        <w:ind w:left="24"/>
        <w:jc w:val="left"/>
      </w:pPr>
      <w:r>
        <w:rPr>
          <w:b/>
        </w:rPr>
        <w:t xml:space="preserve">5.4 Immediate Danger to Public Health </w:t>
      </w:r>
      <w:r>
        <w:t xml:space="preserve">  </w:t>
      </w:r>
    </w:p>
    <w:p w14:paraId="5DEFACB2" w14:textId="77777777" w:rsidR="00B047ED" w:rsidRDefault="0043351B">
      <w:pPr>
        <w:numPr>
          <w:ilvl w:val="0"/>
          <w:numId w:val="4"/>
        </w:numPr>
        <w:spacing w:after="205"/>
        <w:ind w:right="18"/>
      </w:pPr>
      <w:r>
        <w:lastRenderedPageBreak/>
        <w:t>Whenever the FDA finds a food storage warehouse operating under conditions that constitute an immediate danger to public health or whenev</w:t>
      </w:r>
      <w:r>
        <w:t>er the licensee or any employee of the licensee actively prevents the FDA or officers of the FDA, during an on-site inspection, from determining whether such a condition exists, the FDA may summarily suspend, pending a hearing, a license provided for in th</w:t>
      </w:r>
      <w:r>
        <w:t xml:space="preserve">e guidelines.  </w:t>
      </w:r>
    </w:p>
    <w:p w14:paraId="4EC11203" w14:textId="77777777" w:rsidR="00B047ED" w:rsidRDefault="0043351B">
      <w:pPr>
        <w:numPr>
          <w:ilvl w:val="0"/>
          <w:numId w:val="4"/>
        </w:numPr>
        <w:spacing w:after="202"/>
        <w:ind w:right="18"/>
      </w:pPr>
      <w:r>
        <w:t xml:space="preserve">Whenever a </w:t>
      </w:r>
      <w:proofErr w:type="spellStart"/>
      <w:r>
        <w:t>licence</w:t>
      </w:r>
      <w:proofErr w:type="spellEnd"/>
      <w:r>
        <w:t xml:space="preserve"> is summarily suspended, the holder of the </w:t>
      </w:r>
      <w:proofErr w:type="spellStart"/>
      <w:r>
        <w:t>licence</w:t>
      </w:r>
      <w:proofErr w:type="spellEnd"/>
      <w:r>
        <w:t xml:space="preserve"> shall be notified in writing that the </w:t>
      </w:r>
      <w:proofErr w:type="spellStart"/>
      <w:r>
        <w:t>licence</w:t>
      </w:r>
      <w:proofErr w:type="spellEnd"/>
      <w:r>
        <w:t xml:space="preserve"> is, upon service of the notice, immediately suspended and that prompt opportunity for a hearing will be provided.  </w:t>
      </w:r>
    </w:p>
    <w:p w14:paraId="5FDCE5C3" w14:textId="77777777" w:rsidR="00B047ED" w:rsidRDefault="0043351B">
      <w:pPr>
        <w:spacing w:line="259" w:lineRule="auto"/>
        <w:ind w:left="1162" w:right="18"/>
      </w:pPr>
      <w:r>
        <w:t xml:space="preserve"> .  </w:t>
      </w:r>
    </w:p>
    <w:p w14:paraId="38676087" w14:textId="77777777" w:rsidR="00B047ED" w:rsidRDefault="0043351B">
      <w:pPr>
        <w:spacing w:after="223" w:line="259" w:lineRule="auto"/>
        <w:ind w:left="10" w:right="15"/>
        <w:jc w:val="right"/>
      </w:pPr>
      <w:r>
        <w:rPr>
          <w:b/>
        </w:rPr>
        <w:t>FDA/FSMD/GL-FSE/2013/02</w:t>
      </w:r>
      <w:r>
        <w:t xml:space="preserve">  </w:t>
      </w:r>
    </w:p>
    <w:p w14:paraId="70EEEA17" w14:textId="77777777" w:rsidR="00B047ED" w:rsidRDefault="0043351B">
      <w:pPr>
        <w:spacing w:after="267" w:line="259" w:lineRule="auto"/>
        <w:ind w:left="14" w:firstLine="0"/>
        <w:jc w:val="left"/>
      </w:pPr>
      <w:r>
        <w:rPr>
          <w:rFonts w:ascii="Calibri" w:eastAsia="Calibri" w:hAnsi="Calibri" w:cs="Calibri"/>
          <w:sz w:val="22"/>
        </w:rPr>
        <w:t xml:space="preserve"> </w:t>
      </w:r>
      <w:r>
        <w:t xml:space="preserve"> </w:t>
      </w:r>
    </w:p>
    <w:p w14:paraId="18976666" w14:textId="77777777" w:rsidR="00B047ED" w:rsidRDefault="0043351B">
      <w:pPr>
        <w:pStyle w:val="Heading1"/>
        <w:ind w:left="345" w:hanging="360"/>
      </w:pPr>
      <w:bookmarkStart w:id="9" w:name="_Toc5700"/>
      <w:r>
        <w:t xml:space="preserve">PENALTIES  </w:t>
      </w:r>
      <w:bookmarkEnd w:id="9"/>
    </w:p>
    <w:p w14:paraId="03401C38" w14:textId="77777777" w:rsidR="00B047ED" w:rsidRDefault="0043351B">
      <w:pPr>
        <w:ind w:left="24" w:right="18"/>
      </w:pPr>
      <w:r>
        <w:t>Where non-</w:t>
      </w:r>
      <w:r>
        <w:t xml:space="preserve">adherence to this guideline results in exposure of consumers to a food safety hazard, the FDA will impose an administrative fine in accordance with Section 148, Sub-section 4 &amp; 5 of the Public Health Act, 2012, Act 851.   </w:t>
      </w:r>
    </w:p>
    <w:p w14:paraId="4D87368F" w14:textId="77777777" w:rsidR="00B047ED" w:rsidRDefault="0043351B">
      <w:pPr>
        <w:spacing w:after="11442" w:line="259" w:lineRule="auto"/>
        <w:ind w:left="1994" w:firstLine="0"/>
        <w:jc w:val="left"/>
      </w:pPr>
      <w:r>
        <w:rPr>
          <w:rFonts w:ascii="Calibri" w:eastAsia="Calibri" w:hAnsi="Calibri" w:cs="Calibri"/>
          <w:sz w:val="22"/>
        </w:rPr>
        <w:t xml:space="preserve"> </w:t>
      </w:r>
      <w:r>
        <w:t xml:space="preserve"> </w:t>
      </w:r>
    </w:p>
    <w:p w14:paraId="5744D7DA" w14:textId="77777777" w:rsidR="00B047ED" w:rsidRDefault="0043351B">
      <w:pPr>
        <w:spacing w:after="0" w:line="259" w:lineRule="auto"/>
        <w:ind w:left="0" w:right="226" w:firstLine="0"/>
        <w:jc w:val="right"/>
      </w:pPr>
      <w:r>
        <w:rPr>
          <w:rFonts w:ascii="Calibri" w:eastAsia="Calibri" w:hAnsi="Calibri" w:cs="Calibri"/>
          <w:sz w:val="22"/>
        </w:rPr>
        <w:lastRenderedPageBreak/>
        <w:t xml:space="preserve"> </w:t>
      </w:r>
      <w:r>
        <w:t xml:space="preserve"> </w:t>
      </w:r>
    </w:p>
    <w:p w14:paraId="0719B71E" w14:textId="77777777" w:rsidR="00B047ED" w:rsidRDefault="0043351B">
      <w:pPr>
        <w:spacing w:after="54" w:line="259" w:lineRule="auto"/>
        <w:ind w:left="14" w:firstLine="0"/>
        <w:jc w:val="left"/>
      </w:pPr>
      <w:r>
        <w:rPr>
          <w:rFonts w:ascii="Calibri" w:eastAsia="Calibri" w:hAnsi="Calibri" w:cs="Calibri"/>
          <w:noProof/>
          <w:sz w:val="22"/>
        </w:rPr>
        <mc:AlternateContent>
          <mc:Choice Requires="wpg">
            <w:drawing>
              <wp:inline distT="0" distB="0" distL="0" distR="0" wp14:anchorId="492FA6EE" wp14:editId="4423C736">
                <wp:extent cx="5924550" cy="57150"/>
                <wp:effectExtent l="0" t="0" r="0" b="0"/>
                <wp:docPr id="5271" name="Group 5271"/>
                <wp:cNvGraphicFramePr/>
                <a:graphic xmlns:a="http://schemas.openxmlformats.org/drawingml/2006/main">
                  <a:graphicData uri="http://schemas.microsoft.com/office/word/2010/wordprocessingGroup">
                    <wpg:wgp>
                      <wpg:cNvGrpSpPr/>
                      <wpg:grpSpPr>
                        <a:xfrm>
                          <a:off x="0" y="0"/>
                          <a:ext cx="5924550" cy="57150"/>
                          <a:chOff x="0" y="0"/>
                          <a:chExt cx="5924550" cy="57150"/>
                        </a:xfrm>
                      </wpg:grpSpPr>
                      <wps:wsp>
                        <wps:cNvPr id="5878" name="Shape 5878"/>
                        <wps:cNvSpPr/>
                        <wps:spPr>
                          <a:xfrm>
                            <a:off x="0" y="45720"/>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5879" name="Shape 5879"/>
                        <wps:cNvSpPr/>
                        <wps:spPr>
                          <a:xfrm>
                            <a:off x="0" y="0"/>
                            <a:ext cx="5924550" cy="34290"/>
                          </a:xfrm>
                          <a:custGeom>
                            <a:avLst/>
                            <a:gdLst/>
                            <a:ahLst/>
                            <a:cxnLst/>
                            <a:rect l="0" t="0" r="0" b="0"/>
                            <a:pathLst>
                              <a:path w="5924550" h="34290">
                                <a:moveTo>
                                  <a:pt x="0" y="0"/>
                                </a:moveTo>
                                <a:lnTo>
                                  <a:pt x="5924550" y="0"/>
                                </a:lnTo>
                                <a:lnTo>
                                  <a:pt x="5924550" y="34290"/>
                                </a:lnTo>
                                <a:lnTo>
                                  <a:pt x="0" y="3429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inline>
            </w:drawing>
          </mc:Choice>
          <mc:Fallback xmlns:a="http://schemas.openxmlformats.org/drawingml/2006/main">
            <w:pict>
              <v:group id="Group 5271" style="width:466.5pt;height:4.5pt;mso-position-horizontal-relative:char;mso-position-vertical-relative:line" coordsize="59245,571">
                <v:shape id="Shape 5880" style="position:absolute;width:59245;height:114;left:0;top:457;" coordsize="5924550,11430" path="m0,0l5924550,0l5924550,11430l0,11430l0,0">
                  <v:stroke weight="0pt" endcap="flat" joinstyle="miter" miterlimit="10" on="false" color="#000000" opacity="0"/>
                  <v:fill on="true" color="#993300"/>
                </v:shape>
                <v:shape id="Shape 5881" style="position:absolute;width:59245;height:342;left:0;top:0;" coordsize="5924550,34290" path="m0,0l5924550,0l5924550,34290l0,34290l0,0">
                  <v:stroke weight="0pt" endcap="flat" joinstyle="miter" miterlimit="10" on="false" color="#000000" opacity="0"/>
                  <v:fill on="true" color="#993300"/>
                </v:shape>
              </v:group>
            </w:pict>
          </mc:Fallback>
        </mc:AlternateContent>
      </w:r>
    </w:p>
    <w:p w14:paraId="0092A31D" w14:textId="77777777" w:rsidR="00B047ED" w:rsidRDefault="0043351B">
      <w:pPr>
        <w:pStyle w:val="Heading4"/>
        <w:ind w:left="10" w:right="14"/>
      </w:pPr>
      <w:r>
        <w:t xml:space="preserve">Page 9 of 9  </w:t>
      </w:r>
    </w:p>
    <w:sectPr w:rsidR="00B047ED">
      <w:headerReference w:type="even" r:id="rId8"/>
      <w:headerReference w:type="default" r:id="rId9"/>
      <w:footerReference w:type="even" r:id="rId10"/>
      <w:footerReference w:type="default" r:id="rId11"/>
      <w:headerReference w:type="first" r:id="rId12"/>
      <w:footerReference w:type="first" r:id="rId13"/>
      <w:pgSz w:w="12240" w:h="16834"/>
      <w:pgMar w:top="729" w:right="1409" w:bottom="901"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7074" w14:textId="77777777" w:rsidR="0043351B" w:rsidRDefault="0043351B">
      <w:pPr>
        <w:spacing w:after="0" w:line="240" w:lineRule="auto"/>
      </w:pPr>
      <w:r>
        <w:separator/>
      </w:r>
    </w:p>
  </w:endnote>
  <w:endnote w:type="continuationSeparator" w:id="0">
    <w:p w14:paraId="02E1C78A" w14:textId="77777777" w:rsidR="0043351B" w:rsidRDefault="004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D60D" w14:textId="77777777" w:rsidR="00B047ED" w:rsidRDefault="0043351B">
    <w:pPr>
      <w:spacing w:after="227" w:line="259" w:lineRule="auto"/>
      <w:ind w:left="0" w:right="22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CF1DED" wp14:editId="31BC03B6">
              <wp:simplePos x="0" y="0"/>
              <wp:positionH relativeFrom="page">
                <wp:posOffset>914400</wp:posOffset>
              </wp:positionH>
              <wp:positionV relativeFrom="page">
                <wp:posOffset>9805035</wp:posOffset>
              </wp:positionV>
              <wp:extent cx="5924550" cy="57150"/>
              <wp:effectExtent l="0" t="0" r="0" b="0"/>
              <wp:wrapSquare wrapText="bothSides"/>
              <wp:docPr id="5530" name="Group 5530"/>
              <wp:cNvGraphicFramePr/>
              <a:graphic xmlns:a="http://schemas.openxmlformats.org/drawingml/2006/main">
                <a:graphicData uri="http://schemas.microsoft.com/office/word/2010/wordprocessingGroup">
                  <wpg:wgp>
                    <wpg:cNvGrpSpPr/>
                    <wpg:grpSpPr>
                      <a:xfrm>
                        <a:off x="0" y="0"/>
                        <a:ext cx="5924550" cy="57150"/>
                        <a:chOff x="0" y="0"/>
                        <a:chExt cx="5924550" cy="57150"/>
                      </a:xfrm>
                    </wpg:grpSpPr>
                    <wps:wsp>
                      <wps:cNvPr id="5882" name="Shape 5882"/>
                      <wps:cNvSpPr/>
                      <wps:spPr>
                        <a:xfrm>
                          <a:off x="0" y="45720"/>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5883" name="Shape 5883"/>
                      <wps:cNvSpPr/>
                      <wps:spPr>
                        <a:xfrm>
                          <a:off x="0" y="0"/>
                          <a:ext cx="5924550" cy="34290"/>
                        </a:xfrm>
                        <a:custGeom>
                          <a:avLst/>
                          <a:gdLst/>
                          <a:ahLst/>
                          <a:cxnLst/>
                          <a:rect l="0" t="0" r="0" b="0"/>
                          <a:pathLst>
                            <a:path w="5924550" h="34290">
                              <a:moveTo>
                                <a:pt x="0" y="0"/>
                              </a:moveTo>
                              <a:lnTo>
                                <a:pt x="5924550" y="0"/>
                              </a:lnTo>
                              <a:lnTo>
                                <a:pt x="5924550" y="34290"/>
                              </a:lnTo>
                              <a:lnTo>
                                <a:pt x="0" y="3429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anchor>
          </w:drawing>
        </mc:Choice>
        <mc:Fallback xmlns:a="http://schemas.openxmlformats.org/drawingml/2006/main">
          <w:pict>
            <v:group id="Group 5530" style="width:466.5pt;height:4.5pt;position:absolute;mso-position-horizontal-relative:page;mso-position-horizontal:absolute;margin-left:72pt;mso-position-vertical-relative:page;margin-top:772.05pt;" coordsize="59245,571">
              <v:shape id="Shape 5884" style="position:absolute;width:59245;height:114;left:0;top:457;" coordsize="5924550,11430" path="m0,0l5924550,0l5924550,11430l0,11430l0,0">
                <v:stroke weight="0pt" endcap="flat" joinstyle="miter" miterlimit="10" on="false" color="#000000" opacity="0"/>
                <v:fill on="true" color="#993300"/>
              </v:shape>
              <v:shape id="Shape 5885" style="position:absolute;width:59245;height:342;left:0;top:0;" coordsize="5924550,34290" path="m0,0l5924550,0l5924550,34290l0,34290l0,0">
                <v:stroke weight="0pt" endcap="flat" joinstyle="miter" miterlimit="10" on="false" color="#000000" opacity="0"/>
                <v:fill on="true" color="#993300"/>
              </v:shape>
              <w10:wrap type="square"/>
            </v:group>
          </w:pict>
        </mc:Fallback>
      </mc:AlternateContent>
    </w:r>
    <w:r>
      <w:rPr>
        <w:rFonts w:ascii="Calibri" w:eastAsia="Calibri" w:hAnsi="Calibri" w:cs="Calibri"/>
        <w:sz w:val="22"/>
      </w:rPr>
      <w:t xml:space="preserve"> </w:t>
    </w:r>
    <w:r>
      <w:t xml:space="preserve"> </w:t>
    </w:r>
  </w:p>
  <w:p w14:paraId="369183BE" w14:textId="77777777" w:rsidR="00B047ED" w:rsidRDefault="0043351B">
    <w:pPr>
      <w:spacing w:after="0" w:line="259" w:lineRule="auto"/>
      <w:ind w:left="0" w:right="29" w:firstLine="0"/>
      <w:jc w:val="right"/>
    </w:pP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9</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03E3" w14:textId="77777777" w:rsidR="00B047ED" w:rsidRDefault="00B047E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4254" w14:textId="77777777" w:rsidR="00B047ED" w:rsidRDefault="00B047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B560E" w14:textId="77777777" w:rsidR="0043351B" w:rsidRDefault="0043351B">
      <w:pPr>
        <w:spacing w:after="0" w:line="240" w:lineRule="auto"/>
      </w:pPr>
      <w:r>
        <w:separator/>
      </w:r>
    </w:p>
  </w:footnote>
  <w:footnote w:type="continuationSeparator" w:id="0">
    <w:p w14:paraId="3F95338D" w14:textId="77777777" w:rsidR="0043351B" w:rsidRDefault="004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2651" w14:textId="77777777" w:rsidR="00B047ED" w:rsidRDefault="0043351B">
    <w:pPr>
      <w:spacing w:after="223" w:line="259" w:lineRule="auto"/>
      <w:ind w:left="0" w:right="30" w:firstLine="0"/>
      <w:jc w:val="right"/>
    </w:pPr>
    <w:r>
      <w:rPr>
        <w:b/>
      </w:rPr>
      <w:t>FDA/FSMD/GL-FSE/2013/02</w:t>
    </w:r>
    <w:r>
      <w:t xml:space="preserve">  </w:t>
    </w:r>
  </w:p>
  <w:p w14:paraId="1C3DDD40" w14:textId="77777777" w:rsidR="00B047ED" w:rsidRDefault="0043351B">
    <w:pPr>
      <w:spacing w:after="0" w:line="259" w:lineRule="auto"/>
      <w:ind w:left="14" w:firstLine="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7EE4" w14:textId="77777777" w:rsidR="00B047ED" w:rsidRDefault="00B047E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CFAE" w14:textId="77777777" w:rsidR="00B047ED" w:rsidRDefault="00B047E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2330C"/>
    <w:multiLevelType w:val="hybridMultilevel"/>
    <w:tmpl w:val="0504D30C"/>
    <w:lvl w:ilvl="0" w:tplc="117E64B4">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6260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89C8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A1A1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A8F8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2D7D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CAB4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4061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8EA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A251B7"/>
    <w:multiLevelType w:val="hybridMultilevel"/>
    <w:tmpl w:val="33CC798E"/>
    <w:lvl w:ilvl="0" w:tplc="9C0ABAF2">
      <w:start w:val="1"/>
      <w:numFmt w:val="decimal"/>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4235E">
      <w:start w:val="1"/>
      <w:numFmt w:val="lowerLetter"/>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AAAE2">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ACA3A">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E4106">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83EF0">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A8362">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41D32">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405E0">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8411B9"/>
    <w:multiLevelType w:val="hybridMultilevel"/>
    <w:tmpl w:val="321A714E"/>
    <w:lvl w:ilvl="0" w:tplc="50B822F2">
      <w:start w:val="1"/>
      <w:numFmt w:val="lowerLetter"/>
      <w:lvlText w:val="%1)"/>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EBD84">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6EA4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273B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0306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A75CE">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040B4">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4504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CDE1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116E5C"/>
    <w:multiLevelType w:val="multilevel"/>
    <w:tmpl w:val="FB76934A"/>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3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5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2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9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C686AC0"/>
    <w:multiLevelType w:val="multilevel"/>
    <w:tmpl w:val="3A46F86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ED"/>
    <w:rsid w:val="0043351B"/>
    <w:rsid w:val="00931A8C"/>
    <w:rsid w:val="00B0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C533"/>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54" w:lineRule="auto"/>
      <w:ind w:left="3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5"/>
      </w:numPr>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numPr>
        <w:ilvl w:val="1"/>
        <w:numId w:val="5"/>
      </w:numPr>
      <w:spacing w:after="200"/>
      <w:ind w:left="281"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200"/>
      <w:ind w:left="281"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222"/>
      <w:ind w:left="39" w:hanging="10"/>
      <w:jc w:val="right"/>
      <w:outlineLvl w:val="3"/>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4Char">
    <w:name w:val="Heading 4 Char"/>
    <w:link w:val="Heading4"/>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6"/>
    </w:rPr>
  </w:style>
  <w:style w:type="paragraph" w:styleId="TOC1">
    <w:name w:val="toc 1"/>
    <w:hidden/>
    <w:pPr>
      <w:spacing w:after="220"/>
      <w:ind w:left="39" w:right="37" w:hanging="10"/>
      <w:jc w:val="both"/>
    </w:pPr>
    <w:rPr>
      <w:rFonts w:ascii="Times New Roman" w:eastAsia="Times New Roman" w:hAnsi="Times New Roman" w:cs="Times New Roman"/>
      <w:color w:val="000000"/>
      <w:sz w:val="24"/>
    </w:rPr>
  </w:style>
  <w:style w:type="paragraph" w:styleId="TOC2">
    <w:name w:val="toc 2"/>
    <w:hidden/>
    <w:pPr>
      <w:spacing w:after="222"/>
      <w:ind w:left="245" w:right="40" w:hanging="10"/>
      <w:jc w:val="right"/>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dc:creator>
  <cp:keywords/>
  <cp:lastModifiedBy>samuel fahren otoo</cp:lastModifiedBy>
  <cp:revision>2</cp:revision>
  <dcterms:created xsi:type="dcterms:W3CDTF">2020-04-05T19:47:00Z</dcterms:created>
  <dcterms:modified xsi:type="dcterms:W3CDTF">2020-04-05T19:47:00Z</dcterms:modified>
</cp:coreProperties>
</file>