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919F" w14:textId="77777777" w:rsidR="002E1E69" w:rsidRDefault="00EA6745">
      <w:pPr>
        <w:tabs>
          <w:tab w:val="center" w:pos="4638"/>
          <w:tab w:val="center" w:pos="5725"/>
        </w:tabs>
        <w:spacing w:after="0" w:line="259" w:lineRule="auto"/>
        <w:ind w:left="0" w:right="0" w:firstLine="0"/>
        <w:jc w:val="left"/>
      </w:pPr>
      <w:r>
        <w:rPr>
          <w:rFonts w:ascii="Calibri" w:eastAsia="Calibri" w:hAnsi="Calibri" w:cs="Calibri"/>
          <w:sz w:val="22"/>
        </w:rPr>
        <w:tab/>
      </w:r>
      <w:r>
        <w:rPr>
          <w:noProof/>
        </w:rPr>
        <w:drawing>
          <wp:inline distT="0" distB="0" distL="0" distR="0" wp14:anchorId="3722E95C" wp14:editId="515F46B0">
            <wp:extent cx="1379220" cy="139954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1379220" cy="1399540"/>
                    </a:xfrm>
                    <a:prstGeom prst="rect">
                      <a:avLst/>
                    </a:prstGeom>
                  </pic:spPr>
                </pic:pic>
              </a:graphicData>
            </a:graphic>
          </wp:inline>
        </w:drawing>
      </w: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t xml:space="preserve">  </w:t>
      </w:r>
      <w:r>
        <w:t xml:space="preserve"> </w:t>
      </w:r>
    </w:p>
    <w:p w14:paraId="225F3118" w14:textId="77777777" w:rsidR="002E1E69" w:rsidRDefault="00EA6745">
      <w:pPr>
        <w:spacing w:after="229" w:line="259" w:lineRule="auto"/>
        <w:ind w:left="0" w:right="63" w:firstLine="0"/>
        <w:jc w:val="center"/>
      </w:pPr>
      <w:r>
        <w:t xml:space="preserve"> </w:t>
      </w:r>
    </w:p>
    <w:p w14:paraId="38EB1F44" w14:textId="77777777" w:rsidR="002E1E69" w:rsidRDefault="00EA6745">
      <w:pPr>
        <w:spacing w:after="0" w:line="259" w:lineRule="auto"/>
        <w:ind w:left="802" w:right="0" w:firstLine="0"/>
        <w:jc w:val="left"/>
      </w:pPr>
      <w:r>
        <w:rPr>
          <w:rFonts w:ascii="Times New Roman" w:eastAsia="Times New Roman" w:hAnsi="Times New Roman" w:cs="Times New Roman"/>
          <w:b/>
          <w:sz w:val="48"/>
        </w:rPr>
        <w:t>FOOD AND DRUGS AUTHORITY</w:t>
      </w:r>
      <w:r>
        <w:rPr>
          <w:rFonts w:ascii="Times New Roman" w:eastAsia="Times New Roman" w:hAnsi="Times New Roman" w:cs="Times New Roman"/>
          <w:sz w:val="22"/>
        </w:rPr>
        <w:t xml:space="preserve"> </w:t>
      </w:r>
      <w:r>
        <w:rPr>
          <w:sz w:val="37"/>
          <w:vertAlign w:val="subscript"/>
        </w:rPr>
        <w:t xml:space="preserve"> </w:t>
      </w:r>
    </w:p>
    <w:p w14:paraId="2F1B3A5D" w14:textId="77777777" w:rsidR="002E1E69" w:rsidRDefault="00EA6745">
      <w:pPr>
        <w:spacing w:after="6" w:line="259" w:lineRule="auto"/>
        <w:ind w:left="187" w:right="0" w:firstLine="0"/>
        <w:jc w:val="center"/>
      </w:pPr>
      <w:r>
        <w:rPr>
          <w:rFonts w:ascii="Times New Roman" w:eastAsia="Times New Roman" w:hAnsi="Times New Roman" w:cs="Times New Roman"/>
          <w:sz w:val="22"/>
        </w:rPr>
        <w:t xml:space="preserve">  </w:t>
      </w:r>
      <w:r>
        <w:t xml:space="preserve"> </w:t>
      </w:r>
    </w:p>
    <w:p w14:paraId="429AC047" w14:textId="77777777" w:rsidR="002E1E69" w:rsidRDefault="00EA6745">
      <w:pPr>
        <w:spacing w:after="11" w:line="259" w:lineRule="auto"/>
        <w:ind w:left="189" w:right="0" w:firstLine="0"/>
        <w:jc w:val="center"/>
      </w:pPr>
      <w:r>
        <w:rPr>
          <w:rFonts w:ascii="Times New Roman" w:eastAsia="Times New Roman" w:hAnsi="Times New Roman" w:cs="Times New Roman"/>
          <w:sz w:val="22"/>
        </w:rPr>
        <w:t xml:space="preserve"> </w:t>
      </w:r>
      <w:r>
        <w:t xml:space="preserve"> </w:t>
      </w:r>
    </w:p>
    <w:p w14:paraId="45CF2A00" w14:textId="77777777" w:rsidR="002E1E69" w:rsidRDefault="00EA6745">
      <w:pPr>
        <w:spacing w:after="14" w:line="259" w:lineRule="auto"/>
        <w:ind w:left="189" w:right="0" w:firstLine="0"/>
        <w:jc w:val="center"/>
      </w:pPr>
      <w:r>
        <w:rPr>
          <w:rFonts w:ascii="Times New Roman" w:eastAsia="Times New Roman" w:hAnsi="Times New Roman" w:cs="Times New Roman"/>
          <w:sz w:val="22"/>
        </w:rPr>
        <w:t xml:space="preserve"> </w:t>
      </w:r>
      <w:r>
        <w:t xml:space="preserve"> </w:t>
      </w:r>
    </w:p>
    <w:p w14:paraId="378B2368" w14:textId="77777777" w:rsidR="002E1E69" w:rsidRDefault="00EA6745">
      <w:pPr>
        <w:spacing w:after="8" w:line="259" w:lineRule="auto"/>
        <w:ind w:left="187" w:right="0" w:firstLine="0"/>
        <w:jc w:val="center"/>
      </w:pPr>
      <w:r>
        <w:rPr>
          <w:rFonts w:ascii="Times New Roman" w:eastAsia="Times New Roman" w:hAnsi="Times New Roman" w:cs="Times New Roman"/>
          <w:sz w:val="22"/>
        </w:rPr>
        <w:t xml:space="preserve">  </w:t>
      </w:r>
      <w:r>
        <w:t xml:space="preserve"> </w:t>
      </w:r>
    </w:p>
    <w:p w14:paraId="6FDA2BB6" w14:textId="77777777" w:rsidR="002E1E69" w:rsidRDefault="00EA6745">
      <w:pPr>
        <w:spacing w:after="511" w:line="259" w:lineRule="auto"/>
        <w:ind w:left="189" w:right="0" w:firstLine="0"/>
        <w:jc w:val="center"/>
      </w:pPr>
      <w:r>
        <w:rPr>
          <w:rFonts w:ascii="Times New Roman" w:eastAsia="Times New Roman" w:hAnsi="Times New Roman" w:cs="Times New Roman"/>
          <w:sz w:val="22"/>
        </w:rPr>
        <w:t xml:space="preserve"> </w:t>
      </w:r>
      <w:r>
        <w:t xml:space="preserve"> </w:t>
      </w:r>
    </w:p>
    <w:p w14:paraId="1FCBEAA4" w14:textId="77777777" w:rsidR="002E1E69" w:rsidRDefault="00EA6745">
      <w:pPr>
        <w:spacing w:after="0" w:line="259" w:lineRule="auto"/>
        <w:ind w:left="285" w:right="0"/>
        <w:jc w:val="left"/>
      </w:pPr>
      <w:r>
        <w:rPr>
          <w:rFonts w:ascii="Times New Roman" w:eastAsia="Times New Roman" w:hAnsi="Times New Roman" w:cs="Times New Roman"/>
          <w:b/>
          <w:sz w:val="40"/>
        </w:rPr>
        <w:t xml:space="preserve">GUIDELINES FOR REGISTRATION AS AN </w:t>
      </w:r>
      <w:r>
        <w:t xml:space="preserve"> </w:t>
      </w:r>
    </w:p>
    <w:p w14:paraId="6CF5636D" w14:textId="77777777" w:rsidR="002E1E69" w:rsidRDefault="00EA6745">
      <w:pPr>
        <w:spacing w:after="0" w:line="259" w:lineRule="auto"/>
        <w:ind w:left="2240" w:right="0"/>
        <w:jc w:val="left"/>
      </w:pPr>
      <w:r>
        <w:rPr>
          <w:rFonts w:ascii="Times New Roman" w:eastAsia="Times New Roman" w:hAnsi="Times New Roman" w:cs="Times New Roman"/>
          <w:b/>
          <w:sz w:val="40"/>
        </w:rPr>
        <w:t>IMPORTER OF FOOD</w:t>
      </w:r>
      <w:r>
        <w:rPr>
          <w:rFonts w:ascii="Times New Roman" w:eastAsia="Times New Roman" w:hAnsi="Times New Roman" w:cs="Times New Roman"/>
          <w:sz w:val="22"/>
        </w:rPr>
        <w:t xml:space="preserve"> </w:t>
      </w:r>
      <w:r>
        <w:rPr>
          <w:sz w:val="37"/>
          <w:vertAlign w:val="subscript"/>
        </w:rPr>
        <w:t xml:space="preserve"> </w:t>
      </w:r>
    </w:p>
    <w:p w14:paraId="1CF4423D" w14:textId="77777777" w:rsidR="002E1E69" w:rsidRDefault="00EA6745">
      <w:pPr>
        <w:spacing w:after="174" w:line="259" w:lineRule="auto"/>
        <w:ind w:left="29" w:right="0" w:firstLine="0"/>
        <w:jc w:val="left"/>
      </w:pPr>
      <w:r>
        <w:rPr>
          <w:rFonts w:ascii="Times New Roman" w:eastAsia="Times New Roman" w:hAnsi="Times New Roman" w:cs="Times New Roman"/>
          <w:sz w:val="22"/>
        </w:rPr>
        <w:t xml:space="preserve"> </w:t>
      </w:r>
      <w:r>
        <w:t xml:space="preserve"> </w:t>
      </w:r>
    </w:p>
    <w:p w14:paraId="619DD887" w14:textId="77777777" w:rsidR="002E1E69" w:rsidRDefault="00EA6745">
      <w:pPr>
        <w:spacing w:after="201" w:line="259" w:lineRule="auto"/>
        <w:ind w:left="29" w:right="0" w:firstLine="0"/>
        <w:jc w:val="left"/>
      </w:pPr>
      <w:r>
        <w:rPr>
          <w:rFonts w:ascii="Times New Roman" w:eastAsia="Times New Roman" w:hAnsi="Times New Roman" w:cs="Times New Roman"/>
          <w:sz w:val="22"/>
        </w:rPr>
        <w:t xml:space="preserve">  </w:t>
      </w:r>
      <w:r>
        <w:t xml:space="preserve"> </w:t>
      </w:r>
    </w:p>
    <w:p w14:paraId="7F889FFC" w14:textId="77777777" w:rsidR="002E1E69" w:rsidRDefault="00EA6745">
      <w:pPr>
        <w:spacing w:after="142" w:line="259" w:lineRule="auto"/>
        <w:ind w:left="29" w:right="0" w:firstLine="0"/>
        <w:jc w:val="left"/>
      </w:pPr>
      <w:r>
        <w:rPr>
          <w:rFonts w:ascii="Times New Roman" w:eastAsia="Times New Roman" w:hAnsi="Times New Roman" w:cs="Times New Roman"/>
          <w:sz w:val="22"/>
        </w:rPr>
        <w:t xml:space="preserve"> </w:t>
      </w:r>
      <w:r>
        <w:t xml:space="preserve"> </w:t>
      </w:r>
    </w:p>
    <w:p w14:paraId="376E8ACC" w14:textId="77777777" w:rsidR="002E1E69" w:rsidRDefault="00EA6745">
      <w:pPr>
        <w:spacing w:after="185" w:line="259" w:lineRule="auto"/>
        <w:ind w:left="29" w:right="0" w:firstLine="0"/>
        <w:jc w:val="left"/>
      </w:pPr>
      <w:r>
        <w:rPr>
          <w:rFonts w:ascii="Times New Roman" w:eastAsia="Times New Roman" w:hAnsi="Times New Roman" w:cs="Times New Roman"/>
          <w:sz w:val="22"/>
        </w:rPr>
        <w:t xml:space="preserve"> </w:t>
      </w:r>
      <w:r>
        <w:t xml:space="preserve"> </w:t>
      </w:r>
    </w:p>
    <w:p w14:paraId="26CF7E84" w14:textId="77777777" w:rsidR="002E1E69" w:rsidRDefault="00EA6745">
      <w:pPr>
        <w:spacing w:after="196" w:line="259" w:lineRule="auto"/>
        <w:ind w:left="29" w:right="0" w:firstLine="0"/>
        <w:jc w:val="left"/>
      </w:pPr>
      <w:r>
        <w:rPr>
          <w:rFonts w:ascii="Times New Roman" w:eastAsia="Times New Roman" w:hAnsi="Times New Roman" w:cs="Times New Roman"/>
          <w:sz w:val="22"/>
        </w:rPr>
        <w:t xml:space="preserve">     </w:t>
      </w:r>
      <w:r>
        <w:t xml:space="preserve"> </w:t>
      </w:r>
    </w:p>
    <w:p w14:paraId="01354F98" w14:textId="77777777" w:rsidR="002E1E69" w:rsidRDefault="00EA6745">
      <w:pPr>
        <w:spacing w:after="156" w:line="259" w:lineRule="auto"/>
        <w:ind w:left="29" w:right="0" w:firstLine="0"/>
        <w:jc w:val="left"/>
      </w:pPr>
      <w:r>
        <w:rPr>
          <w:rFonts w:ascii="Times New Roman" w:eastAsia="Times New Roman" w:hAnsi="Times New Roman" w:cs="Times New Roman"/>
          <w:sz w:val="22"/>
        </w:rPr>
        <w:t xml:space="preserve"> </w:t>
      </w:r>
      <w:r>
        <w:t xml:space="preserve"> </w:t>
      </w:r>
    </w:p>
    <w:p w14:paraId="753B3230" w14:textId="77777777" w:rsidR="002E1E69" w:rsidRDefault="00EA6745">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4F27A6BA" wp14:editId="3F3410C7">
                <wp:extent cx="5924550" cy="57150"/>
                <wp:effectExtent l="0" t="0" r="0" b="0"/>
                <wp:docPr id="2688" name="Group 2688"/>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3511" name="Shape 3511"/>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3512" name="Shape 3512"/>
                        <wps:cNvSpPr/>
                        <wps:spPr>
                          <a:xfrm>
                            <a:off x="0" y="0"/>
                            <a:ext cx="5924550" cy="34290"/>
                          </a:xfrm>
                          <a:custGeom>
                            <a:avLst/>
                            <a:gdLst/>
                            <a:ahLst/>
                            <a:cxnLst/>
                            <a:rect l="0" t="0" r="0" b="0"/>
                            <a:pathLst>
                              <a:path w="5924550" h="34290">
                                <a:moveTo>
                                  <a:pt x="0" y="0"/>
                                </a:moveTo>
                                <a:lnTo>
                                  <a:pt x="5924550" y="0"/>
                                </a:lnTo>
                                <a:lnTo>
                                  <a:pt x="5924550" y="34290"/>
                                </a:lnTo>
                                <a:lnTo>
                                  <a:pt x="0" y="3429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2688" style="width:466.5pt;height:4.5pt;mso-position-horizontal-relative:char;mso-position-vertical-relative:line" coordsize="59245,571">
                <v:shape id="Shape 3513" style="position:absolute;width:59245;height:114;left:0;top:457;" coordsize="5924550,11430" path="m0,0l5924550,0l5924550,11430l0,11430l0,0">
                  <v:stroke weight="0pt" endcap="flat" joinstyle="miter" miterlimit="10" on="false" color="#000000" opacity="0"/>
                  <v:fill on="true" color="#993300"/>
                </v:shape>
                <v:shape id="Shape 3514" style="position:absolute;width:59245;height:342;left:0;top:0;" coordsize="5924550,34290" path="m0,0l5924550,0l5924550,34290l0,34290l0,0">
                  <v:stroke weight="0pt" endcap="flat" joinstyle="miter" miterlimit="10" on="false" color="#000000" opacity="0"/>
                  <v:fill on="true" color="#993300"/>
                </v:shape>
              </v:group>
            </w:pict>
          </mc:Fallback>
        </mc:AlternateContent>
      </w:r>
      <w:r>
        <w:rPr>
          <w:rFonts w:ascii="Times New Roman" w:eastAsia="Times New Roman" w:hAnsi="Times New Roman" w:cs="Times New Roman"/>
          <w:sz w:val="22"/>
        </w:rPr>
        <w:t xml:space="preserve"> </w:t>
      </w:r>
      <w:r>
        <w:t xml:space="preserve"> </w:t>
      </w:r>
    </w:p>
    <w:p w14:paraId="43E13A30" w14:textId="7BA80059" w:rsidR="00EA6745" w:rsidRDefault="00EA6745">
      <w:pPr>
        <w:spacing w:after="107" w:line="324" w:lineRule="auto"/>
        <w:ind w:left="-15" w:right="3821" w:firstLine="4"/>
        <w:rPr>
          <w:rFonts w:ascii="Times New Roman" w:eastAsia="Times New Roman" w:hAnsi="Times New Roman" w:cs="Times New Roman"/>
          <w:sz w:val="22"/>
        </w:rPr>
      </w:pPr>
      <w:r>
        <w:rPr>
          <w:rFonts w:ascii="Times New Roman" w:eastAsia="Times New Roman" w:hAnsi="Times New Roman" w:cs="Times New Roman"/>
          <w:b/>
          <w:sz w:val="22"/>
        </w:rPr>
        <w:t xml:space="preserve">Document No.:                        </w:t>
      </w:r>
      <w:bookmarkStart w:id="0" w:name="_GoBack"/>
      <w:bookmarkEnd w:id="0"/>
      <w:r>
        <w:rPr>
          <w:rFonts w:ascii="Times New Roman" w:eastAsia="Times New Roman" w:hAnsi="Times New Roman" w:cs="Times New Roman"/>
          <w:sz w:val="22"/>
        </w:rPr>
        <w:t>FDA/</w:t>
      </w:r>
      <w:r>
        <w:rPr>
          <w:rFonts w:ascii="Times New Roman" w:eastAsia="Times New Roman" w:hAnsi="Times New Roman" w:cs="Times New Roman"/>
          <w:color w:val="FF0000"/>
          <w:sz w:val="22"/>
        </w:rPr>
        <w:t xml:space="preserve">FERD/GL-REG/2013/01  </w:t>
      </w:r>
      <w:r>
        <w:rPr>
          <w:rFonts w:ascii="Times New Roman" w:eastAsia="Times New Roman" w:hAnsi="Times New Roman" w:cs="Times New Roman"/>
          <w:sz w:val="22"/>
        </w:rPr>
        <w:t xml:space="preserve"> </w:t>
      </w:r>
      <w:r>
        <w:t xml:space="preserve"> </w:t>
      </w:r>
      <w:r>
        <w:rPr>
          <w:rFonts w:ascii="Times New Roman" w:eastAsia="Times New Roman" w:hAnsi="Times New Roman" w:cs="Times New Roman"/>
          <w:b/>
          <w:sz w:val="22"/>
        </w:rPr>
        <w:t>Date of First Adoption</w:t>
      </w:r>
      <w:r>
        <w:rPr>
          <w:rFonts w:ascii="Times New Roman" w:eastAsia="Times New Roman" w:hAnsi="Times New Roman" w:cs="Times New Roman"/>
          <w:sz w:val="22"/>
        </w:rPr>
        <w:t xml:space="preserve">:             </w:t>
      </w:r>
      <w:r>
        <w:rPr>
          <w:rFonts w:ascii="Times New Roman" w:eastAsia="Times New Roman" w:hAnsi="Times New Roman" w:cs="Times New Roman"/>
          <w:color w:val="FF0000"/>
          <w:sz w:val="22"/>
        </w:rPr>
        <w:t>1</w:t>
      </w:r>
      <w:r>
        <w:rPr>
          <w:rFonts w:ascii="Times New Roman" w:eastAsia="Times New Roman" w:hAnsi="Times New Roman" w:cs="Times New Roman"/>
          <w:color w:val="FF0000"/>
          <w:sz w:val="22"/>
          <w:vertAlign w:val="superscript"/>
        </w:rPr>
        <w:t>st</w:t>
      </w:r>
      <w:r>
        <w:rPr>
          <w:rFonts w:ascii="Times New Roman" w:eastAsia="Times New Roman" w:hAnsi="Times New Roman" w:cs="Times New Roman"/>
          <w:color w:val="FF0000"/>
          <w:sz w:val="22"/>
        </w:rPr>
        <w:t xml:space="preserve"> </w:t>
      </w:r>
      <w:r>
        <w:rPr>
          <w:rFonts w:ascii="Times New Roman" w:eastAsia="Times New Roman" w:hAnsi="Times New Roman" w:cs="Times New Roman"/>
          <w:color w:val="FF0000"/>
          <w:sz w:val="22"/>
        </w:rPr>
        <w:t xml:space="preserve">February 2013  </w:t>
      </w:r>
      <w:r>
        <w:rPr>
          <w:rFonts w:ascii="Times New Roman" w:eastAsia="Times New Roman" w:hAnsi="Times New Roman" w:cs="Times New Roman"/>
          <w:sz w:val="22"/>
        </w:rPr>
        <w:t xml:space="preserve"> </w:t>
      </w:r>
    </w:p>
    <w:p w14:paraId="7B014F93" w14:textId="33A60300" w:rsidR="002E1E69" w:rsidRDefault="00EA6745">
      <w:pPr>
        <w:spacing w:after="107" w:line="324" w:lineRule="auto"/>
        <w:ind w:left="-15" w:right="3821" w:firstLine="4"/>
      </w:pPr>
      <w:r>
        <w:rPr>
          <w:rFonts w:ascii="Times New Roman" w:eastAsia="Times New Roman" w:hAnsi="Times New Roman" w:cs="Times New Roman"/>
          <w:b/>
          <w:sz w:val="22"/>
        </w:rPr>
        <w:t>Date of Issue</w:t>
      </w:r>
      <w:r>
        <w:rPr>
          <w:rFonts w:ascii="Times New Roman" w:eastAsia="Times New Roman" w:hAnsi="Times New Roman" w:cs="Times New Roman"/>
          <w:sz w:val="22"/>
        </w:rPr>
        <w:t xml:space="preserve">:                              </w:t>
      </w:r>
      <w:r>
        <w:rPr>
          <w:rFonts w:ascii="Times New Roman" w:eastAsia="Times New Roman" w:hAnsi="Times New Roman" w:cs="Times New Roman"/>
          <w:color w:val="FF0000"/>
          <w:sz w:val="22"/>
        </w:rPr>
        <w:t>1</w:t>
      </w:r>
      <w:r>
        <w:rPr>
          <w:rFonts w:ascii="Times New Roman" w:eastAsia="Times New Roman" w:hAnsi="Times New Roman" w:cs="Times New Roman"/>
          <w:color w:val="FF0000"/>
          <w:sz w:val="22"/>
          <w:vertAlign w:val="superscript"/>
        </w:rPr>
        <w:t>st</w:t>
      </w:r>
      <w:r>
        <w:rPr>
          <w:rFonts w:ascii="Times New Roman" w:eastAsia="Times New Roman" w:hAnsi="Times New Roman" w:cs="Times New Roman"/>
          <w:color w:val="FF0000"/>
          <w:sz w:val="22"/>
        </w:rPr>
        <w:t xml:space="preserve"> March 2013  </w:t>
      </w:r>
      <w:r>
        <w:rPr>
          <w:rFonts w:ascii="Times New Roman" w:eastAsia="Times New Roman" w:hAnsi="Times New Roman" w:cs="Times New Roman"/>
          <w:sz w:val="22"/>
        </w:rPr>
        <w:t xml:space="preserve"> </w:t>
      </w:r>
      <w:r>
        <w:t xml:space="preserve"> </w:t>
      </w:r>
    </w:p>
    <w:p w14:paraId="7C56B49B" w14:textId="77777777" w:rsidR="002E1E69" w:rsidRDefault="00EA6745">
      <w:pPr>
        <w:tabs>
          <w:tab w:val="center" w:pos="3029"/>
        </w:tabs>
        <w:spacing w:after="107" w:line="259" w:lineRule="auto"/>
        <w:ind w:left="-15" w:right="0" w:firstLine="0"/>
        <w:jc w:val="left"/>
      </w:pPr>
      <w:r>
        <w:rPr>
          <w:rFonts w:ascii="Times New Roman" w:eastAsia="Times New Roman" w:hAnsi="Times New Roman" w:cs="Times New Roman"/>
          <w:b/>
          <w:sz w:val="22"/>
        </w:rPr>
        <w:t>Version No.</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01   </w:t>
      </w:r>
      <w:r>
        <w:t xml:space="preserve"> </w:t>
      </w:r>
    </w:p>
    <w:p w14:paraId="255BA867" w14:textId="77777777" w:rsidR="002E1E69" w:rsidRDefault="00EA6745">
      <w:pPr>
        <w:spacing w:after="257" w:line="259" w:lineRule="auto"/>
        <w:ind w:left="29" w:right="0" w:firstLine="0"/>
        <w:jc w:val="left"/>
      </w:pPr>
      <w:r>
        <w:rPr>
          <w:rFonts w:ascii="Times New Roman" w:eastAsia="Times New Roman" w:hAnsi="Times New Roman" w:cs="Times New Roman"/>
          <w:sz w:val="22"/>
        </w:rPr>
        <w:t xml:space="preserve"> </w:t>
      </w:r>
      <w:r>
        <w:t xml:space="preserve"> </w:t>
      </w:r>
    </w:p>
    <w:p w14:paraId="48584844" w14:textId="77777777" w:rsidR="002E1E69" w:rsidRDefault="00EA6745">
      <w:pPr>
        <w:spacing w:after="168" w:line="259" w:lineRule="auto"/>
        <w:ind w:left="14" w:right="0" w:firstLine="0"/>
        <w:jc w:val="left"/>
      </w:pPr>
      <w:r>
        <w:rPr>
          <w:rFonts w:ascii="Times New Roman" w:eastAsia="Times New Roman" w:hAnsi="Times New Roman" w:cs="Times New Roman"/>
          <w:sz w:val="22"/>
        </w:rPr>
        <w:t xml:space="preserve"> </w:t>
      </w:r>
      <w:r>
        <w:t xml:space="preserve"> </w:t>
      </w:r>
    </w:p>
    <w:p w14:paraId="7DD9322A" w14:textId="77777777" w:rsidR="002E1E69" w:rsidRDefault="00EA6745">
      <w:pPr>
        <w:spacing w:after="1" w:line="259" w:lineRule="auto"/>
        <w:ind w:left="14" w:right="0" w:firstLine="0"/>
        <w:jc w:val="left"/>
      </w:pPr>
      <w:r>
        <w:rPr>
          <w:rFonts w:ascii="Times New Roman" w:eastAsia="Times New Roman" w:hAnsi="Times New Roman" w:cs="Times New Roman"/>
          <w:sz w:val="22"/>
        </w:rPr>
        <w:t xml:space="preserve"> </w:t>
      </w:r>
      <w:r>
        <w:t xml:space="preserve"> </w:t>
      </w:r>
    </w:p>
    <w:p w14:paraId="106670D1" w14:textId="77777777" w:rsidR="002E1E69" w:rsidRDefault="00EA6745">
      <w:pPr>
        <w:spacing w:after="4" w:line="259" w:lineRule="auto"/>
        <w:ind w:left="14" w:right="0" w:firstLine="0"/>
        <w:jc w:val="left"/>
      </w:pPr>
      <w:r>
        <w:lastRenderedPageBreak/>
        <w:t xml:space="preserve">  </w:t>
      </w:r>
    </w:p>
    <w:p w14:paraId="4502C9A2" w14:textId="77777777" w:rsidR="002E1E69" w:rsidRDefault="00EA6745">
      <w:pPr>
        <w:pStyle w:val="Heading1"/>
        <w:spacing w:after="0"/>
        <w:ind w:left="-5"/>
      </w:pPr>
      <w:r>
        <w:rPr>
          <w:sz w:val="22"/>
        </w:rPr>
        <w:t xml:space="preserve">1.0 </w:t>
      </w:r>
      <w:r>
        <w:rPr>
          <w:b w:val="0"/>
        </w:rPr>
        <w:t xml:space="preserve">  </w:t>
      </w:r>
      <w:r>
        <w:t xml:space="preserve">INTRODUCTION   </w:t>
      </w:r>
      <w:r>
        <w:rPr>
          <w:b w:val="0"/>
        </w:rPr>
        <w:t xml:space="preserve"> </w:t>
      </w:r>
    </w:p>
    <w:p w14:paraId="16FE1F2D" w14:textId="77777777" w:rsidR="002E1E69" w:rsidRDefault="00EA6745">
      <w:pPr>
        <w:spacing w:after="0" w:line="259" w:lineRule="auto"/>
        <w:ind w:left="29" w:right="0" w:firstLine="0"/>
        <w:jc w:val="left"/>
      </w:pPr>
      <w:r>
        <w:t xml:space="preserve">  </w:t>
      </w:r>
    </w:p>
    <w:p w14:paraId="2DFEB43A" w14:textId="77777777" w:rsidR="002E1E69" w:rsidRDefault="00EA6745">
      <w:pPr>
        <w:spacing w:after="159" w:line="354" w:lineRule="auto"/>
        <w:ind w:left="2" w:right="124"/>
      </w:pPr>
      <w:r>
        <w:t xml:space="preserve">In exercise of the powers conferred on the FDA by the Public Health Act, 2012, Act 851, Part Seven, Section 99, these guidelines apply to the registration of an applicant as an importer of food in order </w:t>
      </w:r>
      <w:r>
        <w:rPr>
          <w:color w:val="FF0000"/>
        </w:rPr>
        <w:t xml:space="preserve">to import into the country </w:t>
      </w:r>
      <w:r>
        <w:t xml:space="preserve">These guidelines apply to </w:t>
      </w:r>
      <w:r>
        <w:t xml:space="preserve">importers of all food products.  </w:t>
      </w:r>
    </w:p>
    <w:p w14:paraId="1F54D55C" w14:textId="77777777" w:rsidR="002E1E69" w:rsidRDefault="00EA6745">
      <w:pPr>
        <w:spacing w:after="154"/>
        <w:ind w:left="2" w:right="124"/>
      </w:pPr>
      <w:r>
        <w:t xml:space="preserve">Notwithstanding the above, all food products to be imported shall comply with existing Ghana Standards.   </w:t>
      </w:r>
    </w:p>
    <w:p w14:paraId="1489FE6B" w14:textId="77777777" w:rsidR="002E1E69" w:rsidRDefault="00EA6745">
      <w:pPr>
        <w:spacing w:after="152"/>
        <w:ind w:left="2" w:right="124"/>
      </w:pPr>
      <w:r>
        <w:t xml:space="preserve">The purpose of these guidelines is to provide guidance to food importers on the requirements of the Food and Drugs </w:t>
      </w:r>
      <w:r>
        <w:t xml:space="preserve">Authority and the procedures by which an applicant may be registered as an importer of food.  </w:t>
      </w:r>
    </w:p>
    <w:p w14:paraId="0CF21A1A" w14:textId="77777777" w:rsidR="002E1E69" w:rsidRDefault="00EA6745">
      <w:pPr>
        <w:spacing w:after="5" w:line="259" w:lineRule="auto"/>
        <w:ind w:left="14" w:right="0" w:firstLine="0"/>
        <w:jc w:val="left"/>
      </w:pPr>
      <w:r>
        <w:rPr>
          <w:b/>
        </w:rPr>
        <w:t xml:space="preserve"> </w:t>
      </w:r>
      <w:r>
        <w:t xml:space="preserve"> </w:t>
      </w:r>
    </w:p>
    <w:p w14:paraId="3EE01902" w14:textId="77777777" w:rsidR="002E1E69" w:rsidRDefault="00EA6745">
      <w:pPr>
        <w:pStyle w:val="Heading1"/>
        <w:spacing w:after="53"/>
        <w:ind w:left="-5"/>
      </w:pPr>
      <w:r>
        <w:rPr>
          <w:sz w:val="22"/>
        </w:rPr>
        <w:t xml:space="preserve">2.0 </w:t>
      </w:r>
      <w:r>
        <w:t xml:space="preserve"> GLOSSARY   </w:t>
      </w:r>
      <w:r>
        <w:rPr>
          <w:b w:val="0"/>
        </w:rPr>
        <w:t xml:space="preserve"> </w:t>
      </w:r>
    </w:p>
    <w:p w14:paraId="362C3918" w14:textId="77777777" w:rsidR="002E1E69" w:rsidRDefault="00EA6745">
      <w:pPr>
        <w:spacing w:after="0" w:line="259" w:lineRule="auto"/>
        <w:ind w:left="749" w:right="0" w:firstLine="0"/>
        <w:jc w:val="left"/>
      </w:pPr>
      <w:r>
        <w:t xml:space="preserve">  </w:t>
      </w:r>
    </w:p>
    <w:p w14:paraId="59971F9D" w14:textId="77777777" w:rsidR="002E1E69" w:rsidRDefault="00EA6745">
      <w:pPr>
        <w:spacing w:after="171"/>
        <w:ind w:left="2" w:right="124"/>
      </w:pPr>
      <w:r>
        <w:t xml:space="preserve">For the purpose of these guidelines the following definitions shall apply:     </w:t>
      </w:r>
    </w:p>
    <w:p w14:paraId="15A4B855" w14:textId="77777777" w:rsidR="002E1E69" w:rsidRDefault="00EA6745">
      <w:pPr>
        <w:spacing w:after="170"/>
        <w:ind w:left="2" w:right="124"/>
      </w:pPr>
      <w:r>
        <w:rPr>
          <w:b/>
        </w:rPr>
        <w:t>“</w:t>
      </w:r>
      <w:r>
        <w:rPr>
          <w:b/>
          <w:i/>
        </w:rPr>
        <w:t>Requirements</w:t>
      </w:r>
      <w:r>
        <w:rPr>
          <w:b/>
        </w:rPr>
        <w:t xml:space="preserve">” </w:t>
      </w:r>
      <w:r>
        <w:t>are the criteria set down relating to trad</w:t>
      </w:r>
      <w:r>
        <w:t xml:space="preserve">e in foodstuffs covering the protection of public health, the protection of consumers and conditions of fair trading;     </w:t>
      </w:r>
    </w:p>
    <w:p w14:paraId="6B4056BD" w14:textId="77777777" w:rsidR="002E1E69" w:rsidRDefault="00EA6745">
      <w:pPr>
        <w:spacing w:after="81" w:line="353" w:lineRule="auto"/>
        <w:ind w:left="2" w:right="124"/>
      </w:pPr>
      <w:r>
        <w:rPr>
          <w:b/>
        </w:rPr>
        <w:t>“</w:t>
      </w:r>
      <w:r>
        <w:rPr>
          <w:b/>
          <w:i/>
        </w:rPr>
        <w:t>Renewal</w:t>
      </w:r>
      <w:r>
        <w:rPr>
          <w:b/>
        </w:rPr>
        <w:t xml:space="preserve">” </w:t>
      </w:r>
      <w:r>
        <w:t xml:space="preserve">means to make valid for a further period or extent, the validity of the registration of the pre-packaged food for the period determined by the Board.     </w:t>
      </w:r>
    </w:p>
    <w:p w14:paraId="1E4C83E7" w14:textId="77777777" w:rsidR="002E1E69" w:rsidRDefault="00EA6745">
      <w:pPr>
        <w:spacing w:after="0" w:line="259" w:lineRule="auto"/>
        <w:ind w:left="14" w:right="0" w:firstLine="0"/>
        <w:jc w:val="left"/>
      </w:pPr>
      <w:r>
        <w:rPr>
          <w:b/>
        </w:rPr>
        <w:t xml:space="preserve"> </w:t>
      </w:r>
      <w:r>
        <w:t xml:space="preserve"> </w:t>
      </w:r>
    </w:p>
    <w:p w14:paraId="786CF67A" w14:textId="77777777" w:rsidR="002E1E69" w:rsidRDefault="00EA6745">
      <w:pPr>
        <w:pStyle w:val="Heading1"/>
        <w:spacing w:after="0"/>
        <w:ind w:left="-5"/>
      </w:pPr>
      <w:r>
        <w:t xml:space="preserve">3.0 REGISTRATION AS AN IMPORTER </w:t>
      </w:r>
      <w:r>
        <w:rPr>
          <w:b w:val="0"/>
        </w:rPr>
        <w:t xml:space="preserve"> </w:t>
      </w:r>
    </w:p>
    <w:p w14:paraId="0738A40E" w14:textId="77777777" w:rsidR="002E1E69" w:rsidRDefault="00EA6745">
      <w:pPr>
        <w:spacing w:after="0" w:line="259" w:lineRule="auto"/>
        <w:ind w:left="14" w:right="0" w:firstLine="0"/>
        <w:jc w:val="left"/>
      </w:pPr>
      <w:r>
        <w:t xml:space="preserve">  </w:t>
      </w:r>
    </w:p>
    <w:p w14:paraId="22FA58C5" w14:textId="77777777" w:rsidR="002E1E69" w:rsidRDefault="00EA6745">
      <w:pPr>
        <w:spacing w:after="211"/>
        <w:ind w:left="2" w:right="124"/>
      </w:pPr>
      <w:r>
        <w:t xml:space="preserve">An applicant shall, for Registering as an Importer:     </w:t>
      </w:r>
    </w:p>
    <w:p w14:paraId="792C536E" w14:textId="77777777" w:rsidR="002E1E69" w:rsidRDefault="00EA6745">
      <w:pPr>
        <w:spacing w:after="247"/>
        <w:ind w:left="458" w:right="124" w:hanging="466"/>
      </w:pPr>
      <w:r>
        <w:t xml:space="preserve">3.1. Purchase and complete the Imported Food Product Information Form  </w:t>
      </w:r>
      <w:r>
        <w:rPr>
          <w:b/>
        </w:rPr>
        <w:t>(FDA/FM05/IM/02)</w:t>
      </w:r>
      <w:r>
        <w:t xml:space="preserve">;       </w:t>
      </w:r>
    </w:p>
    <w:p w14:paraId="3489A94F" w14:textId="77777777" w:rsidR="002E1E69" w:rsidRDefault="00EA6745">
      <w:pPr>
        <w:spacing w:after="262"/>
        <w:ind w:left="2" w:right="124"/>
      </w:pPr>
      <w:r>
        <w:t xml:space="preserve">3.2. Submit the above form in addition to  </w:t>
      </w:r>
    </w:p>
    <w:p w14:paraId="20310967" w14:textId="77777777" w:rsidR="002E1E69" w:rsidRDefault="00EA6745">
      <w:pPr>
        <w:numPr>
          <w:ilvl w:val="0"/>
          <w:numId w:val="1"/>
        </w:numPr>
        <w:spacing w:after="56"/>
        <w:ind w:right="148" w:hanging="360"/>
      </w:pPr>
      <w:r>
        <w:t>A Copy of Business Registration Certificate</w:t>
      </w:r>
      <w:r>
        <w:rPr>
          <w:b/>
        </w:rPr>
        <w:t xml:space="preserve"> </w:t>
      </w:r>
      <w:r>
        <w:t xml:space="preserve"> </w:t>
      </w:r>
    </w:p>
    <w:p w14:paraId="144275C2" w14:textId="77777777" w:rsidR="002E1E69" w:rsidRDefault="00EA6745">
      <w:pPr>
        <w:numPr>
          <w:ilvl w:val="0"/>
          <w:numId w:val="1"/>
        </w:numPr>
        <w:spacing w:after="7" w:line="259" w:lineRule="auto"/>
        <w:ind w:right="148" w:hanging="360"/>
      </w:pPr>
      <w:r>
        <w:t xml:space="preserve">Registration </w:t>
      </w:r>
      <w:r>
        <w:t xml:space="preserve">as an importers fee as stated in the Food and Drugs Authority’s Fee  </w:t>
      </w:r>
    </w:p>
    <w:p w14:paraId="54AC55F0" w14:textId="77777777" w:rsidR="002E1E69" w:rsidRDefault="00EA6745">
      <w:pPr>
        <w:ind w:left="819" w:right="124"/>
      </w:pPr>
      <w:r>
        <w:t xml:space="preserve">Schedule;L.I.2228   </w:t>
      </w:r>
    </w:p>
    <w:p w14:paraId="7269B672" w14:textId="77777777" w:rsidR="002E1E69" w:rsidRDefault="00EA6745">
      <w:pPr>
        <w:ind w:left="819" w:right="124"/>
      </w:pPr>
      <w:r>
        <w:t xml:space="preserve">(2016) (non-refundable) – </w:t>
      </w:r>
      <w:r>
        <w:rPr>
          <w:b/>
          <w:i/>
        </w:rPr>
        <w:t>as indicated below;</w:t>
      </w:r>
      <w:r>
        <w:rPr>
          <w:b/>
        </w:rPr>
        <w:t xml:space="preserve"> </w:t>
      </w:r>
      <w:r>
        <w:t xml:space="preserve"> </w:t>
      </w:r>
    </w:p>
    <w:p w14:paraId="5C892095" w14:textId="77777777" w:rsidR="002E1E69" w:rsidRDefault="00EA6745">
      <w:pPr>
        <w:spacing w:after="14" w:line="259" w:lineRule="auto"/>
        <w:ind w:left="809" w:right="0" w:firstLine="0"/>
        <w:jc w:val="left"/>
      </w:pPr>
      <w:r>
        <w:rPr>
          <w:b/>
          <w:i/>
        </w:rPr>
        <w:t xml:space="preserve"> </w:t>
      </w:r>
      <w:r>
        <w:t xml:space="preserve"> </w:t>
      </w:r>
    </w:p>
    <w:p w14:paraId="13B3E6FF" w14:textId="77777777" w:rsidR="002E1E69" w:rsidRDefault="00EA6745">
      <w:pPr>
        <w:ind w:left="819" w:right="124"/>
      </w:pPr>
      <w:r>
        <w:rPr>
          <w:b/>
          <w:i/>
        </w:rPr>
        <w:t xml:space="preserve">         </w:t>
      </w:r>
      <w:r>
        <w:t xml:space="preserve">Food Importers fee  - GH¢400   </w:t>
      </w:r>
    </w:p>
    <w:p w14:paraId="77B18991" w14:textId="77777777" w:rsidR="002E1E69" w:rsidRDefault="00EA6745">
      <w:pPr>
        <w:spacing w:after="0" w:line="259" w:lineRule="auto"/>
        <w:ind w:left="809" w:right="0" w:firstLine="0"/>
        <w:jc w:val="left"/>
      </w:pPr>
      <w:r>
        <w:lastRenderedPageBreak/>
        <w:t xml:space="preserve">  </w:t>
      </w:r>
    </w:p>
    <w:p w14:paraId="70F78412" w14:textId="77777777" w:rsidR="002E1E69" w:rsidRDefault="00EA6745">
      <w:pPr>
        <w:spacing w:after="263" w:line="259" w:lineRule="auto"/>
        <w:ind w:left="809" w:right="0" w:firstLine="0"/>
        <w:jc w:val="left"/>
      </w:pPr>
      <w:r>
        <w:rPr>
          <w:b/>
        </w:rPr>
        <w:t xml:space="preserve"> </w:t>
      </w:r>
      <w:r>
        <w:t xml:space="preserve"> </w:t>
      </w:r>
    </w:p>
    <w:p w14:paraId="6292A53E" w14:textId="77777777" w:rsidR="002E1E69" w:rsidRDefault="00EA6745">
      <w:pPr>
        <w:ind w:left="2" w:right="124"/>
      </w:pPr>
      <w:r>
        <w:t xml:space="preserve">3.3.The application shall be addressed to    </w:t>
      </w:r>
    </w:p>
    <w:p w14:paraId="2EDA1B5C" w14:textId="77777777" w:rsidR="002E1E69" w:rsidRDefault="00EA6745">
      <w:pPr>
        <w:spacing w:after="219" w:line="259" w:lineRule="auto"/>
        <w:ind w:left="14" w:right="0" w:firstLine="0"/>
        <w:jc w:val="left"/>
      </w:pPr>
      <w:r>
        <w:t xml:space="preserve">  </w:t>
      </w:r>
      <w:r>
        <w:tab/>
        <w:t xml:space="preserve">  </w:t>
      </w:r>
    </w:p>
    <w:p w14:paraId="0058581D" w14:textId="77777777" w:rsidR="002E1E69" w:rsidRDefault="00EA6745">
      <w:pPr>
        <w:spacing w:after="85" w:line="259" w:lineRule="auto"/>
        <w:ind w:left="-5" w:right="0"/>
        <w:jc w:val="left"/>
      </w:pPr>
      <w:r>
        <w:rPr>
          <w:b/>
        </w:rPr>
        <w:t xml:space="preserve">THE CHIEF EXECUTIVE </w:t>
      </w:r>
      <w:r>
        <w:t xml:space="preserve">  </w:t>
      </w:r>
      <w:r>
        <w:rPr>
          <w:b/>
        </w:rPr>
        <w:t xml:space="preserve">FOOD AND DRUGS AUTHORITY </w:t>
      </w:r>
      <w:r>
        <w:t xml:space="preserve">  </w:t>
      </w:r>
      <w:r>
        <w:rPr>
          <w:b/>
        </w:rPr>
        <w:t xml:space="preserve">P. O. BOX CT 2783 </w:t>
      </w:r>
      <w:r>
        <w:t xml:space="preserve">  </w:t>
      </w:r>
      <w:r>
        <w:rPr>
          <w:b/>
        </w:rPr>
        <w:t xml:space="preserve">CANTONMENTS, ACCRA  </w:t>
      </w:r>
      <w:r>
        <w:t xml:space="preserve">  </w:t>
      </w:r>
    </w:p>
    <w:p w14:paraId="58391325" w14:textId="77777777" w:rsidR="002E1E69" w:rsidRDefault="00EA6745">
      <w:pPr>
        <w:spacing w:after="108" w:line="259" w:lineRule="auto"/>
        <w:ind w:left="1450" w:right="0" w:firstLine="0"/>
        <w:jc w:val="left"/>
      </w:pPr>
      <w:r>
        <w:t xml:space="preserve">  </w:t>
      </w:r>
    </w:p>
    <w:p w14:paraId="20A05EA4" w14:textId="77777777" w:rsidR="002E1E69" w:rsidRDefault="00EA6745">
      <w:pPr>
        <w:pStyle w:val="Heading1"/>
        <w:spacing w:after="0"/>
        <w:ind w:left="-5"/>
      </w:pPr>
      <w:r>
        <w:t xml:space="preserve">4.0 RENEWAL OF REGISTRATION AS AN IMPORTER  </w:t>
      </w:r>
      <w:r>
        <w:rPr>
          <w:b w:val="0"/>
        </w:rPr>
        <w:t xml:space="preserve"> </w:t>
      </w:r>
    </w:p>
    <w:p w14:paraId="435B8688" w14:textId="77777777" w:rsidR="002E1E69" w:rsidRDefault="00EA6745">
      <w:pPr>
        <w:spacing w:after="0" w:line="259" w:lineRule="auto"/>
        <w:ind w:left="14" w:right="0" w:firstLine="0"/>
        <w:jc w:val="left"/>
      </w:pPr>
      <w:r>
        <w:t xml:space="preserve">  </w:t>
      </w:r>
    </w:p>
    <w:p w14:paraId="2944D7CA" w14:textId="77777777" w:rsidR="002E1E69" w:rsidRDefault="00EA6745">
      <w:pPr>
        <w:spacing w:after="209"/>
        <w:ind w:left="2" w:right="124"/>
      </w:pPr>
      <w:r>
        <w:t xml:space="preserve">An applicant shall, for Registering as an Importer:     </w:t>
      </w:r>
    </w:p>
    <w:p w14:paraId="511725B1" w14:textId="77777777" w:rsidR="002E1E69" w:rsidRDefault="00EA6745">
      <w:pPr>
        <w:spacing w:after="247"/>
        <w:ind w:left="458" w:right="124" w:hanging="466"/>
      </w:pPr>
      <w:r>
        <w:t xml:space="preserve">4.1. Purchase and complete the Imported Food Product Information Form  </w:t>
      </w:r>
      <w:r>
        <w:rPr>
          <w:b/>
        </w:rPr>
        <w:t>(FDA/FM05/IM/02)</w:t>
      </w:r>
      <w:r>
        <w:t xml:space="preserve">;       </w:t>
      </w:r>
    </w:p>
    <w:p w14:paraId="000DD1D2" w14:textId="77777777" w:rsidR="002E1E69" w:rsidRDefault="00EA6745">
      <w:pPr>
        <w:spacing w:after="259"/>
        <w:ind w:left="2" w:right="124"/>
      </w:pPr>
      <w:r>
        <w:t xml:space="preserve">4.2. Submit the above form in addition to  </w:t>
      </w:r>
    </w:p>
    <w:p w14:paraId="2D370296" w14:textId="77777777" w:rsidR="002E1E69" w:rsidRDefault="00EA6745">
      <w:pPr>
        <w:numPr>
          <w:ilvl w:val="0"/>
          <w:numId w:val="2"/>
        </w:numPr>
        <w:spacing w:after="50"/>
        <w:ind w:right="124" w:hanging="360"/>
      </w:pPr>
      <w:r>
        <w:t xml:space="preserve">A Copy of Business Registration Certificate    </w:t>
      </w:r>
      <w:r>
        <w:rPr>
          <w:b/>
        </w:rPr>
        <w:t xml:space="preserve"> </w:t>
      </w:r>
      <w:r>
        <w:t xml:space="preserve"> </w:t>
      </w:r>
    </w:p>
    <w:p w14:paraId="326B0F28" w14:textId="77777777" w:rsidR="002E1E69" w:rsidRDefault="00EA6745">
      <w:pPr>
        <w:numPr>
          <w:ilvl w:val="0"/>
          <w:numId w:val="2"/>
        </w:numPr>
        <w:ind w:right="124" w:hanging="360"/>
      </w:pPr>
      <w:r>
        <w:t>Registration as an importer fee as stated in the Food and Drugs Au</w:t>
      </w:r>
      <w:r>
        <w:t xml:space="preserve">thority’s Fee Schedule; L.I. 2228    </w:t>
      </w:r>
    </w:p>
    <w:p w14:paraId="503150C4" w14:textId="77777777" w:rsidR="002E1E69" w:rsidRDefault="00EA6745">
      <w:pPr>
        <w:spacing w:after="15" w:line="259" w:lineRule="auto"/>
        <w:ind w:left="809" w:right="0" w:firstLine="0"/>
        <w:jc w:val="left"/>
      </w:pPr>
      <w:r>
        <w:rPr>
          <w:b/>
        </w:rPr>
        <w:t xml:space="preserve"> </w:t>
      </w:r>
      <w:r>
        <w:t xml:space="preserve"> </w:t>
      </w:r>
    </w:p>
    <w:p w14:paraId="0EF443E0" w14:textId="77777777" w:rsidR="002E1E69" w:rsidRDefault="00EA6745">
      <w:pPr>
        <w:tabs>
          <w:tab w:val="center" w:pos="2564"/>
          <w:tab w:val="center" w:pos="4784"/>
        </w:tabs>
        <w:spacing w:after="171"/>
        <w:ind w:left="-8" w:right="0" w:firstLine="0"/>
        <w:jc w:val="left"/>
      </w:pPr>
      <w:r>
        <w:rPr>
          <w:rFonts w:ascii="Calibri" w:eastAsia="Calibri" w:hAnsi="Calibri" w:cs="Calibri"/>
          <w:sz w:val="22"/>
        </w:rPr>
        <w:t xml:space="preserve"> </w:t>
      </w:r>
      <w:r>
        <w:rPr>
          <w:rFonts w:ascii="Calibri" w:eastAsia="Calibri" w:hAnsi="Calibri" w:cs="Calibri"/>
          <w:sz w:val="22"/>
        </w:rPr>
        <w:tab/>
      </w:r>
      <w:r>
        <w:t xml:space="preserve">Food Importers fee   -   </w:t>
      </w:r>
      <w:r>
        <w:tab/>
        <w:t xml:space="preserve">GH¢400   </w:t>
      </w:r>
    </w:p>
    <w:p w14:paraId="4BDCA597" w14:textId="77777777" w:rsidR="002E1E69" w:rsidRDefault="00EA6745">
      <w:pPr>
        <w:spacing w:after="197"/>
        <w:ind w:left="2" w:right="124"/>
      </w:pPr>
      <w:r>
        <w:t xml:space="preserve">4. 3.The application shall be addressed to    </w:t>
      </w:r>
    </w:p>
    <w:p w14:paraId="6AC97B0D" w14:textId="77777777" w:rsidR="002E1E69" w:rsidRDefault="00EA6745">
      <w:pPr>
        <w:pStyle w:val="Heading1"/>
        <w:ind w:left="-5"/>
      </w:pPr>
      <w:r>
        <w:rPr>
          <w:b w:val="0"/>
        </w:rPr>
        <w:t xml:space="preserve">                     </w:t>
      </w:r>
      <w:r>
        <w:t xml:space="preserve">THE CHIEF EXECUTIVE </w:t>
      </w:r>
      <w:r>
        <w:rPr>
          <w:b w:val="0"/>
        </w:rPr>
        <w:t xml:space="preserve">  </w:t>
      </w:r>
      <w:r>
        <w:t xml:space="preserve">FOOD AND DRUGS AUTHORITY </w:t>
      </w:r>
      <w:r>
        <w:rPr>
          <w:b w:val="0"/>
        </w:rPr>
        <w:t xml:space="preserve">  </w:t>
      </w:r>
      <w:r>
        <w:t xml:space="preserve">P. O. BOX CT 2783 </w:t>
      </w:r>
      <w:r>
        <w:rPr>
          <w:b w:val="0"/>
        </w:rPr>
        <w:t xml:space="preserve">  </w:t>
      </w:r>
      <w:r>
        <w:t xml:space="preserve">CANTONMENTS, ACCRA  </w:t>
      </w:r>
      <w:r>
        <w:rPr>
          <w:b w:val="0"/>
        </w:rPr>
        <w:t xml:space="preserve">  </w:t>
      </w:r>
    </w:p>
    <w:p w14:paraId="4E82A2D3" w14:textId="77777777" w:rsidR="002E1E69" w:rsidRDefault="00EA6745">
      <w:pPr>
        <w:spacing w:after="110" w:line="259" w:lineRule="auto"/>
        <w:ind w:left="1488" w:right="0" w:firstLine="0"/>
        <w:jc w:val="left"/>
      </w:pPr>
      <w:r>
        <w:t xml:space="preserve">  </w:t>
      </w:r>
    </w:p>
    <w:p w14:paraId="04AD514C" w14:textId="77777777" w:rsidR="002E1E69" w:rsidRDefault="00EA6745">
      <w:pPr>
        <w:tabs>
          <w:tab w:val="center" w:pos="4290"/>
        </w:tabs>
        <w:spacing w:after="108"/>
        <w:ind w:left="-8" w:right="0" w:firstLine="0"/>
        <w:jc w:val="left"/>
      </w:pPr>
      <w:r>
        <w:t xml:space="preserve">4.4 </w:t>
      </w:r>
      <w:r>
        <w:tab/>
      </w:r>
      <w:r>
        <w:t xml:space="preserve">All documents to be submitted for registration must be comb-bound   </w:t>
      </w:r>
    </w:p>
    <w:p w14:paraId="08147F85" w14:textId="77777777" w:rsidR="002E1E69" w:rsidRDefault="00EA6745">
      <w:pPr>
        <w:spacing w:after="110" w:line="259" w:lineRule="auto"/>
        <w:ind w:left="389" w:right="0" w:firstLine="0"/>
        <w:jc w:val="left"/>
      </w:pPr>
      <w:r>
        <w:t xml:space="preserve">  </w:t>
      </w:r>
    </w:p>
    <w:p w14:paraId="156CB98E" w14:textId="77777777" w:rsidR="002E1E69" w:rsidRDefault="00EA6745">
      <w:pPr>
        <w:spacing w:after="0" w:line="361" w:lineRule="auto"/>
        <w:ind w:left="7" w:right="0" w:firstLine="0"/>
        <w:jc w:val="left"/>
      </w:pPr>
      <w:r>
        <w:t xml:space="preserve">4.5 </w:t>
      </w:r>
      <w:r>
        <w:tab/>
      </w:r>
      <w:r>
        <w:t xml:space="preserve">Only company owners and/or competent company representatives with adequate knowledge of the company must complete and submit the application form. Clearing agents are not allowed to complete the application form.     </w:t>
      </w:r>
    </w:p>
    <w:p w14:paraId="071744D2" w14:textId="77777777" w:rsidR="002E1E69" w:rsidRDefault="00EA6745">
      <w:pPr>
        <w:pStyle w:val="Heading1"/>
        <w:ind w:left="-5"/>
      </w:pPr>
      <w:r>
        <w:rPr>
          <w:sz w:val="22"/>
        </w:rPr>
        <w:t xml:space="preserve">3.0 </w:t>
      </w:r>
      <w:r>
        <w:t xml:space="preserve">TIMELINES   </w:t>
      </w:r>
      <w:r>
        <w:rPr>
          <w:b w:val="0"/>
        </w:rPr>
        <w:t xml:space="preserve"> </w:t>
      </w:r>
    </w:p>
    <w:p w14:paraId="22B7E3AA" w14:textId="77777777" w:rsidR="002E1E69" w:rsidRDefault="00EA6745">
      <w:pPr>
        <w:spacing w:after="162" w:line="352" w:lineRule="auto"/>
        <w:ind w:left="1658" w:right="124" w:hanging="938"/>
      </w:pPr>
      <w:r>
        <w:t>3.1. Where all requi</w:t>
      </w:r>
      <w:r>
        <w:t xml:space="preserve">rements for registration as an importer have been met, the registration process shall take a maximum of </w:t>
      </w:r>
      <w:r>
        <w:rPr>
          <w:color w:val="FF0000"/>
        </w:rPr>
        <w:t xml:space="preserve">thirty (30) working </w:t>
      </w:r>
      <w:r>
        <w:t xml:space="preserve">days from the date of submission of application.     </w:t>
      </w:r>
    </w:p>
    <w:p w14:paraId="03A5AD27" w14:textId="77777777" w:rsidR="002E1E69" w:rsidRDefault="00EA6745">
      <w:pPr>
        <w:spacing w:line="353" w:lineRule="auto"/>
        <w:ind w:left="1658" w:right="124" w:hanging="938"/>
      </w:pPr>
      <w:r>
        <w:lastRenderedPageBreak/>
        <w:t>3.2. Where the Food and Drugs Authority is satisfied that there is the need to</w:t>
      </w:r>
      <w:r>
        <w:t xml:space="preserve"> register the applicant as an importer, it shall do so and issue to the applicant a facility license, subject to such conditions as may be prescribed by the Authority from time to time.     </w:t>
      </w:r>
    </w:p>
    <w:p w14:paraId="05F07415" w14:textId="77777777" w:rsidR="002E1E69" w:rsidRDefault="00EA6745">
      <w:pPr>
        <w:tabs>
          <w:tab w:val="center" w:pos="921"/>
          <w:tab w:val="center" w:pos="5109"/>
        </w:tabs>
        <w:spacing w:after="135"/>
        <w:ind w:left="0" w:right="0" w:firstLine="0"/>
        <w:jc w:val="left"/>
      </w:pPr>
      <w:r>
        <w:rPr>
          <w:rFonts w:ascii="Calibri" w:eastAsia="Calibri" w:hAnsi="Calibri" w:cs="Calibri"/>
          <w:sz w:val="22"/>
        </w:rPr>
        <w:tab/>
      </w:r>
      <w:r>
        <w:t xml:space="preserve">3.3. </w:t>
      </w:r>
      <w:r>
        <w:tab/>
        <w:t>The Food and Drugs Authority may defer or reject an applic</w:t>
      </w:r>
      <w:r>
        <w:t xml:space="preserve">ation.     </w:t>
      </w:r>
    </w:p>
    <w:p w14:paraId="74A204F8" w14:textId="77777777" w:rsidR="002E1E69" w:rsidRDefault="00EA6745">
      <w:pPr>
        <w:spacing w:line="356" w:lineRule="auto"/>
        <w:ind w:left="826" w:right="124" w:hanging="106"/>
      </w:pPr>
      <w:r>
        <w:t xml:space="preserve">3.4. Applicants shall respond or address any issues raised concerning the registration as an               importer within a period of </w:t>
      </w:r>
      <w:r>
        <w:rPr>
          <w:color w:val="FF0000"/>
        </w:rPr>
        <w:t xml:space="preserve">thirty (30) days </w:t>
      </w:r>
      <w:r>
        <w:t xml:space="preserve">of issue of the notice.    </w:t>
      </w:r>
    </w:p>
    <w:p w14:paraId="06A598E8" w14:textId="77777777" w:rsidR="002E1E69" w:rsidRDefault="00EA6745">
      <w:pPr>
        <w:spacing w:line="364" w:lineRule="auto"/>
        <w:ind w:left="1658" w:right="124" w:hanging="938"/>
      </w:pPr>
      <w:r>
        <w:t xml:space="preserve">3.5. </w:t>
      </w:r>
      <w:r>
        <w:tab/>
        <w:t xml:space="preserve">If the Authority does not receive any response within the </w:t>
      </w:r>
      <w:r>
        <w:t xml:space="preserve">period specified   under   </w:t>
      </w:r>
    </w:p>
    <w:p w14:paraId="19E7A4AC" w14:textId="77777777" w:rsidR="002E1E69" w:rsidRDefault="00EA6745">
      <w:pPr>
        <w:spacing w:after="93"/>
        <w:ind w:left="1128" w:right="124"/>
      </w:pPr>
      <w:r>
        <w:t xml:space="preserve">3.4, the applicant shall reapply for registration.     </w:t>
      </w:r>
    </w:p>
    <w:p w14:paraId="66A50A49" w14:textId="77777777" w:rsidR="002E1E69" w:rsidRDefault="00EA6745">
      <w:pPr>
        <w:spacing w:after="108" w:line="259" w:lineRule="auto"/>
        <w:ind w:left="1118" w:right="0" w:firstLine="0"/>
        <w:jc w:val="left"/>
      </w:pPr>
      <w:r>
        <w:t xml:space="preserve">  </w:t>
      </w:r>
    </w:p>
    <w:p w14:paraId="64888E60" w14:textId="77777777" w:rsidR="002E1E69" w:rsidRDefault="00EA6745">
      <w:pPr>
        <w:pStyle w:val="Heading1"/>
        <w:spacing w:after="54"/>
        <w:ind w:left="730"/>
      </w:pPr>
      <w:r>
        <w:rPr>
          <w:sz w:val="22"/>
        </w:rPr>
        <w:t xml:space="preserve">4.0 </w:t>
      </w:r>
      <w:r>
        <w:t xml:space="preserve">SANCTIONS   </w:t>
      </w:r>
      <w:r>
        <w:rPr>
          <w:b w:val="0"/>
        </w:rPr>
        <w:t xml:space="preserve"> </w:t>
      </w:r>
    </w:p>
    <w:p w14:paraId="65CADC61" w14:textId="77777777" w:rsidR="002E1E69" w:rsidRDefault="00EA6745">
      <w:pPr>
        <w:spacing w:after="109"/>
        <w:ind w:left="1154" w:right="124" w:hanging="434"/>
      </w:pPr>
      <w:r>
        <w:rPr>
          <w:b/>
          <w:sz w:val="22"/>
        </w:rPr>
        <w:t xml:space="preserve">4.1 </w:t>
      </w:r>
      <w:r>
        <w:t xml:space="preserve">The Authority shall cancel, suspend, or withdraw the registration of the applicant as a food importer if:-     </w:t>
      </w:r>
    </w:p>
    <w:p w14:paraId="32755778" w14:textId="77777777" w:rsidR="002E1E69" w:rsidRDefault="00EA6745">
      <w:pPr>
        <w:numPr>
          <w:ilvl w:val="0"/>
          <w:numId w:val="3"/>
        </w:numPr>
        <w:spacing w:after="130"/>
        <w:ind w:right="124" w:hanging="660"/>
      </w:pPr>
      <w:r>
        <w:t xml:space="preserve">the grounds on which it was registered is later found to be false;     </w:t>
      </w:r>
    </w:p>
    <w:p w14:paraId="5AA97574" w14:textId="77777777" w:rsidR="002E1E69" w:rsidRDefault="00EA6745">
      <w:pPr>
        <w:numPr>
          <w:ilvl w:val="0"/>
          <w:numId w:val="3"/>
        </w:numPr>
        <w:spacing w:after="130"/>
        <w:ind w:right="124" w:hanging="660"/>
      </w:pPr>
      <w:r>
        <w:t xml:space="preserve">the circumstances under which it was registered no longer exist;     </w:t>
      </w:r>
    </w:p>
    <w:p w14:paraId="320BBB55" w14:textId="77777777" w:rsidR="002E1E69" w:rsidRDefault="00EA6745">
      <w:pPr>
        <w:numPr>
          <w:ilvl w:val="0"/>
          <w:numId w:val="3"/>
        </w:numPr>
        <w:spacing w:after="112"/>
        <w:ind w:right="124" w:hanging="660"/>
      </w:pPr>
      <w:r>
        <w:t>an</w:t>
      </w:r>
      <w:r>
        <w:t xml:space="preserve">y of the provisions under which it was registered has been contravened.   </w:t>
      </w:r>
    </w:p>
    <w:p w14:paraId="071E7DB4" w14:textId="77777777" w:rsidR="002E1E69" w:rsidRDefault="00EA6745">
      <w:pPr>
        <w:spacing w:after="127" w:line="259" w:lineRule="auto"/>
        <w:ind w:left="14" w:right="0" w:firstLine="0"/>
        <w:jc w:val="left"/>
      </w:pPr>
      <w:r>
        <w:t xml:space="preserve">  </w:t>
      </w:r>
    </w:p>
    <w:p w14:paraId="37C9235B" w14:textId="77777777" w:rsidR="002E1E69" w:rsidRDefault="00EA6745">
      <w:pPr>
        <w:pStyle w:val="Heading1"/>
        <w:spacing w:after="50"/>
        <w:ind w:left="-5"/>
      </w:pPr>
      <w:r>
        <w:t xml:space="preserve">5.0   PENALTIES   </w:t>
      </w:r>
      <w:r>
        <w:rPr>
          <w:b w:val="0"/>
        </w:rPr>
        <w:t xml:space="preserve"> </w:t>
      </w:r>
    </w:p>
    <w:p w14:paraId="3A5E200B" w14:textId="77777777" w:rsidR="002E1E69" w:rsidRDefault="00EA6745">
      <w:pPr>
        <w:spacing w:after="156" w:line="355" w:lineRule="auto"/>
        <w:ind w:left="2" w:right="124"/>
      </w:pPr>
      <w:r>
        <w:t>Where there is non-adherence to these guidelines, the FDA will impose an Administrative charge in accordance with Section 148, Sub-section 4 &amp; 5 of the Public</w:t>
      </w:r>
      <w:r>
        <w:t xml:space="preserve"> Health Act, 2012, Act 851.  </w:t>
      </w:r>
    </w:p>
    <w:p w14:paraId="4800127F" w14:textId="77777777" w:rsidR="002E1E69" w:rsidRDefault="00EA6745">
      <w:pPr>
        <w:spacing w:after="160" w:line="259" w:lineRule="auto"/>
        <w:ind w:left="14" w:right="0" w:firstLine="0"/>
        <w:jc w:val="left"/>
      </w:pPr>
      <w:r>
        <w:t xml:space="preserve">   </w:t>
      </w:r>
    </w:p>
    <w:p w14:paraId="45D27D6F" w14:textId="77777777" w:rsidR="002E1E69" w:rsidRDefault="00EA6745">
      <w:pPr>
        <w:spacing w:after="0" w:line="259" w:lineRule="auto"/>
        <w:ind w:left="14" w:right="0" w:firstLine="0"/>
        <w:jc w:val="left"/>
      </w:pPr>
      <w:r>
        <w:t xml:space="preserve">  </w:t>
      </w:r>
    </w:p>
    <w:sectPr w:rsidR="002E1E69">
      <w:pgSz w:w="12240" w:h="15840"/>
      <w:pgMar w:top="1440" w:right="1290" w:bottom="174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0F1F"/>
    <w:multiLevelType w:val="hybridMultilevel"/>
    <w:tmpl w:val="794CD4BE"/>
    <w:lvl w:ilvl="0" w:tplc="026C330C">
      <w:start w:val="1"/>
      <w:numFmt w:val="decimal"/>
      <w:lvlText w:val="%1."/>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4C45E">
      <w:start w:val="1"/>
      <w:numFmt w:val="lowerLetter"/>
      <w:lvlText w:val="%2"/>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05816">
      <w:start w:val="1"/>
      <w:numFmt w:val="lowerRoman"/>
      <w:lvlText w:val="%3"/>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43ABA">
      <w:start w:val="1"/>
      <w:numFmt w:val="decimal"/>
      <w:lvlText w:val="%4"/>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ADEF6">
      <w:start w:val="1"/>
      <w:numFmt w:val="lowerLetter"/>
      <w:lvlText w:val="%5"/>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8B4F6">
      <w:start w:val="1"/>
      <w:numFmt w:val="lowerRoman"/>
      <w:lvlText w:val="%6"/>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A3C8C">
      <w:start w:val="1"/>
      <w:numFmt w:val="decimal"/>
      <w:lvlText w:val="%7"/>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0012E">
      <w:start w:val="1"/>
      <w:numFmt w:val="lowerLetter"/>
      <w:lvlText w:val="%8"/>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8CAF2">
      <w:start w:val="1"/>
      <w:numFmt w:val="lowerRoman"/>
      <w:lvlText w:val="%9"/>
      <w:lvlJc w:val="left"/>
      <w:pPr>
        <w:ind w:left="7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543E2"/>
    <w:multiLevelType w:val="hybridMultilevel"/>
    <w:tmpl w:val="D58CDCB8"/>
    <w:lvl w:ilvl="0" w:tplc="036ED656">
      <w:start w:val="1"/>
      <w:numFmt w:val="bullet"/>
      <w:lvlText w:val="•"/>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6DC68">
      <w:start w:val="1"/>
      <w:numFmt w:val="bullet"/>
      <w:lvlText w:val="o"/>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2A4E82">
      <w:start w:val="1"/>
      <w:numFmt w:val="bullet"/>
      <w:lvlText w:val="▪"/>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7C7F52">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BC9484">
      <w:start w:val="1"/>
      <w:numFmt w:val="bullet"/>
      <w:lvlText w:val="o"/>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9A78CE">
      <w:start w:val="1"/>
      <w:numFmt w:val="bullet"/>
      <w:lvlText w:val="▪"/>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944896">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D4FED2">
      <w:start w:val="1"/>
      <w:numFmt w:val="bullet"/>
      <w:lvlText w:val="o"/>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909874">
      <w:start w:val="1"/>
      <w:numFmt w:val="bullet"/>
      <w:lvlText w:val="▪"/>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11F00"/>
    <w:multiLevelType w:val="hybridMultilevel"/>
    <w:tmpl w:val="EE909EE8"/>
    <w:lvl w:ilvl="0" w:tplc="A6127A4E">
      <w:start w:val="1"/>
      <w:numFmt w:val="bullet"/>
      <w:lvlText w:val="•"/>
      <w:lvlJc w:val="left"/>
      <w:pPr>
        <w:ind w:left="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08E0A">
      <w:start w:val="1"/>
      <w:numFmt w:val="bullet"/>
      <w:lvlText w:val="o"/>
      <w:lvlJc w:val="left"/>
      <w:pPr>
        <w:ind w:left="1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56AAF6">
      <w:start w:val="1"/>
      <w:numFmt w:val="bullet"/>
      <w:lvlText w:val="▪"/>
      <w:lvlJc w:val="left"/>
      <w:pPr>
        <w:ind w:left="2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D2ADFC">
      <w:start w:val="1"/>
      <w:numFmt w:val="bullet"/>
      <w:lvlText w:val="•"/>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E7E5E">
      <w:start w:val="1"/>
      <w:numFmt w:val="bullet"/>
      <w:lvlText w:val="o"/>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4E88E8">
      <w:start w:val="1"/>
      <w:numFmt w:val="bullet"/>
      <w:lvlText w:val="▪"/>
      <w:lvlJc w:val="left"/>
      <w:pPr>
        <w:ind w:left="4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90BFCC">
      <w:start w:val="1"/>
      <w:numFmt w:val="bullet"/>
      <w:lvlText w:val="•"/>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01F58">
      <w:start w:val="1"/>
      <w:numFmt w:val="bullet"/>
      <w:lvlText w:val="o"/>
      <w:lvlJc w:val="left"/>
      <w:pPr>
        <w:ind w:left="5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AE2532">
      <w:start w:val="1"/>
      <w:numFmt w:val="bullet"/>
      <w:lvlText w:val="▪"/>
      <w:lvlJc w:val="left"/>
      <w:pPr>
        <w:ind w:left="6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69"/>
    <w:rsid w:val="002E1E69"/>
    <w:rsid w:val="00EA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97A6"/>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right="13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85"/>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samuel fahren otoo</cp:lastModifiedBy>
  <cp:revision>2</cp:revision>
  <dcterms:created xsi:type="dcterms:W3CDTF">2020-04-05T19:54:00Z</dcterms:created>
  <dcterms:modified xsi:type="dcterms:W3CDTF">2020-04-05T19:54:00Z</dcterms:modified>
</cp:coreProperties>
</file>