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3AD7" w:rsidRDefault="003329A0">
      <w:pPr>
        <w:spacing w:after="134" w:line="259" w:lineRule="auto"/>
        <w:ind w:left="3255" w:firstLine="0"/>
      </w:pPr>
      <w:r>
        <w:rPr>
          <w:noProof/>
        </w:rPr>
        <w:drawing>
          <wp:inline distT="0" distB="0" distL="0" distR="0">
            <wp:extent cx="1362075" cy="139509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362075" cy="1395095"/>
                    </a:xfrm>
                    <a:prstGeom prst="rect">
                      <a:avLst/>
                    </a:prstGeom>
                  </pic:spPr>
                </pic:pic>
              </a:graphicData>
            </a:graphic>
          </wp:inline>
        </w:drawing>
      </w:r>
    </w:p>
    <w:p w:rsidR="00AC3AD7" w:rsidRDefault="003329A0">
      <w:pPr>
        <w:spacing w:after="83" w:line="259" w:lineRule="auto"/>
        <w:ind w:left="0" w:right="330" w:firstLine="0"/>
        <w:jc w:val="center"/>
      </w:pPr>
      <w:r>
        <w:rPr>
          <w:b/>
          <w:sz w:val="48"/>
        </w:rPr>
        <w:t xml:space="preserve">FOOD AND DRUGS AUTHORITY </w:t>
      </w:r>
    </w:p>
    <w:p w:rsidR="00AC3AD7" w:rsidRDefault="003329A0">
      <w:pPr>
        <w:spacing w:after="0" w:line="259" w:lineRule="auto"/>
        <w:ind w:left="0" w:right="247" w:firstLine="0"/>
        <w:jc w:val="center"/>
      </w:pPr>
      <w:r>
        <w:rPr>
          <w:b/>
          <w:sz w:val="32"/>
        </w:rPr>
        <w:t xml:space="preserve"> </w:t>
      </w:r>
    </w:p>
    <w:p w:rsidR="00AC3AD7" w:rsidRDefault="003329A0">
      <w:pPr>
        <w:spacing w:after="0" w:line="259" w:lineRule="auto"/>
        <w:ind w:left="0" w:right="247" w:firstLine="0"/>
        <w:jc w:val="center"/>
      </w:pPr>
      <w:r>
        <w:rPr>
          <w:b/>
          <w:sz w:val="32"/>
        </w:rPr>
        <w:t xml:space="preserve"> </w:t>
      </w:r>
    </w:p>
    <w:p w:rsidR="00AC3AD7" w:rsidRDefault="003329A0">
      <w:pPr>
        <w:spacing w:after="0" w:line="259" w:lineRule="auto"/>
        <w:ind w:left="0" w:right="247" w:firstLine="0"/>
        <w:jc w:val="center"/>
      </w:pPr>
      <w:r>
        <w:rPr>
          <w:b/>
          <w:sz w:val="32"/>
        </w:rPr>
        <w:t xml:space="preserve"> </w:t>
      </w:r>
    </w:p>
    <w:p w:rsidR="00AC3AD7" w:rsidRDefault="003329A0">
      <w:pPr>
        <w:spacing w:after="0" w:line="259" w:lineRule="auto"/>
        <w:ind w:left="0" w:right="247" w:firstLine="0"/>
        <w:jc w:val="center"/>
      </w:pPr>
      <w:r>
        <w:rPr>
          <w:b/>
          <w:sz w:val="32"/>
        </w:rPr>
        <w:t xml:space="preserve"> </w:t>
      </w:r>
    </w:p>
    <w:p w:rsidR="00AC3AD7" w:rsidRDefault="003329A0">
      <w:pPr>
        <w:spacing w:after="0" w:line="259" w:lineRule="auto"/>
        <w:ind w:left="0" w:right="247" w:firstLine="0"/>
        <w:jc w:val="center"/>
      </w:pPr>
      <w:r>
        <w:rPr>
          <w:b/>
          <w:sz w:val="32"/>
        </w:rPr>
        <w:t xml:space="preserve"> </w:t>
      </w:r>
    </w:p>
    <w:p w:rsidR="00AC3AD7" w:rsidRDefault="003329A0">
      <w:pPr>
        <w:spacing w:after="0" w:line="259" w:lineRule="auto"/>
        <w:ind w:left="0" w:right="247" w:firstLine="0"/>
        <w:jc w:val="center"/>
      </w:pPr>
      <w:r>
        <w:rPr>
          <w:b/>
          <w:sz w:val="32"/>
        </w:rPr>
        <w:t xml:space="preserve"> </w:t>
      </w:r>
    </w:p>
    <w:p w:rsidR="00AC3AD7" w:rsidRDefault="003329A0">
      <w:pPr>
        <w:spacing w:after="0" w:line="259" w:lineRule="auto"/>
        <w:ind w:left="0" w:right="247" w:firstLine="0"/>
        <w:jc w:val="center"/>
      </w:pPr>
      <w:r>
        <w:rPr>
          <w:b/>
          <w:sz w:val="32"/>
        </w:rPr>
        <w:t xml:space="preserve"> </w:t>
      </w:r>
    </w:p>
    <w:p w:rsidR="00AC3AD7" w:rsidRDefault="003329A0">
      <w:pPr>
        <w:spacing w:after="0" w:line="259" w:lineRule="auto"/>
        <w:ind w:left="0" w:right="247" w:firstLine="0"/>
        <w:jc w:val="center"/>
      </w:pPr>
      <w:r>
        <w:rPr>
          <w:b/>
          <w:sz w:val="32"/>
        </w:rPr>
        <w:t xml:space="preserve"> </w:t>
      </w:r>
    </w:p>
    <w:p w:rsidR="00AC3AD7" w:rsidRDefault="003329A0">
      <w:pPr>
        <w:spacing w:after="0" w:line="259" w:lineRule="auto"/>
        <w:ind w:left="0" w:right="247" w:firstLine="0"/>
        <w:jc w:val="center"/>
      </w:pPr>
      <w:r>
        <w:rPr>
          <w:b/>
          <w:sz w:val="32"/>
        </w:rPr>
        <w:t xml:space="preserve"> </w:t>
      </w:r>
    </w:p>
    <w:p w:rsidR="00AC3AD7" w:rsidRDefault="003329A0">
      <w:pPr>
        <w:spacing w:after="45" w:line="259" w:lineRule="auto"/>
        <w:ind w:left="0" w:right="247" w:firstLine="0"/>
        <w:jc w:val="center"/>
      </w:pPr>
      <w:r>
        <w:rPr>
          <w:b/>
          <w:sz w:val="32"/>
        </w:rPr>
        <w:t xml:space="preserve"> </w:t>
      </w:r>
    </w:p>
    <w:p w:rsidR="00AC3AD7" w:rsidRDefault="003329A0">
      <w:pPr>
        <w:spacing w:after="0" w:line="238" w:lineRule="auto"/>
        <w:ind w:left="0" w:firstLine="0"/>
        <w:jc w:val="center"/>
      </w:pPr>
      <w:r>
        <w:rPr>
          <w:b/>
          <w:sz w:val="40"/>
        </w:rPr>
        <w:t xml:space="preserve">GUIDELINES FOR HANDLING FOOD BORNE DISEASE OUTBREAKS </w:t>
      </w:r>
    </w:p>
    <w:p w:rsidR="00AC3AD7" w:rsidRDefault="003329A0">
      <w:pPr>
        <w:spacing w:after="172" w:line="259" w:lineRule="auto"/>
        <w:ind w:left="0" w:firstLine="0"/>
      </w:pPr>
      <w:r>
        <w:rPr>
          <w:b/>
          <w:sz w:val="28"/>
        </w:rPr>
        <w:t xml:space="preserve"> </w:t>
      </w:r>
    </w:p>
    <w:p w:rsidR="00AC3AD7" w:rsidRDefault="003329A0">
      <w:pPr>
        <w:spacing w:after="169" w:line="259" w:lineRule="auto"/>
        <w:ind w:left="0" w:firstLine="0"/>
      </w:pPr>
      <w:r>
        <w:rPr>
          <w:sz w:val="28"/>
        </w:rPr>
        <w:t xml:space="preserve">  </w:t>
      </w:r>
    </w:p>
    <w:p w:rsidR="00AC3AD7" w:rsidRDefault="003329A0">
      <w:pPr>
        <w:spacing w:after="172" w:line="259" w:lineRule="auto"/>
        <w:ind w:left="0" w:firstLine="0"/>
      </w:pPr>
      <w:r>
        <w:rPr>
          <w:b/>
          <w:sz w:val="28"/>
        </w:rPr>
        <w:t xml:space="preserve"> </w:t>
      </w:r>
    </w:p>
    <w:p w:rsidR="00AC3AD7" w:rsidRDefault="003329A0">
      <w:pPr>
        <w:spacing w:after="131" w:line="259" w:lineRule="auto"/>
        <w:ind w:left="0" w:firstLine="0"/>
      </w:pPr>
      <w:r>
        <w:rPr>
          <w:b/>
          <w:sz w:val="28"/>
        </w:rPr>
        <w:t xml:space="preserve"> </w:t>
      </w:r>
    </w:p>
    <w:p w:rsidR="00AC3AD7" w:rsidRDefault="003329A0" w:rsidP="008A7484">
      <w:pPr>
        <w:spacing w:after="175" w:line="259" w:lineRule="auto"/>
        <w:ind w:left="0" w:firstLine="0"/>
        <w:rPr>
          <w:b/>
        </w:rPr>
      </w:pPr>
      <w:r>
        <w:rPr>
          <w:b/>
        </w:rPr>
        <w:t xml:space="preserve"> </w:t>
      </w:r>
    </w:p>
    <w:p w:rsidR="008A7484" w:rsidRDefault="008A7484" w:rsidP="008A7484">
      <w:pPr>
        <w:spacing w:after="175" w:line="259" w:lineRule="auto"/>
        <w:ind w:left="0" w:firstLine="0"/>
        <w:rPr>
          <w:b/>
        </w:rPr>
      </w:pPr>
    </w:p>
    <w:p w:rsidR="008A7484" w:rsidRDefault="008A7484" w:rsidP="008A7484">
      <w:pPr>
        <w:spacing w:after="175" w:line="259" w:lineRule="auto"/>
        <w:ind w:left="0" w:firstLine="0"/>
        <w:rPr>
          <w:b/>
        </w:rPr>
      </w:pPr>
    </w:p>
    <w:p w:rsidR="008A7484" w:rsidRDefault="008A7484" w:rsidP="008A7484">
      <w:pPr>
        <w:spacing w:after="175" w:line="259" w:lineRule="auto"/>
        <w:ind w:left="0" w:firstLine="0"/>
        <w:rPr>
          <w:b/>
        </w:rPr>
      </w:pPr>
    </w:p>
    <w:p w:rsidR="008A7484" w:rsidRDefault="008A7484" w:rsidP="008A7484">
      <w:pPr>
        <w:spacing w:after="175" w:line="259" w:lineRule="auto"/>
        <w:ind w:left="0" w:firstLine="0"/>
        <w:rPr>
          <w:b/>
        </w:rPr>
      </w:pPr>
    </w:p>
    <w:p w:rsidR="008A7484" w:rsidRDefault="008A7484" w:rsidP="008A7484">
      <w:pPr>
        <w:spacing w:after="175" w:line="259" w:lineRule="auto"/>
        <w:ind w:left="0" w:firstLine="0"/>
        <w:rPr>
          <w:b/>
        </w:rPr>
      </w:pPr>
    </w:p>
    <w:p w:rsidR="008A7484" w:rsidRDefault="008A7484" w:rsidP="008A7484">
      <w:pPr>
        <w:spacing w:after="175" w:line="259" w:lineRule="auto"/>
        <w:ind w:left="0" w:firstLine="0"/>
      </w:pPr>
    </w:p>
    <w:p w:rsidR="00AC3AD7" w:rsidRDefault="003329A0">
      <w:pPr>
        <w:spacing w:after="0" w:line="259" w:lineRule="auto"/>
        <w:ind w:left="0" w:right="-53" w:firstLine="0"/>
      </w:pPr>
      <w:r>
        <w:rPr>
          <w:b/>
          <w:sz w:val="28"/>
        </w:rPr>
        <w:t xml:space="preserve"> </w:t>
      </w:r>
      <w:r>
        <w:rPr>
          <w:rFonts w:ascii="Calibri" w:eastAsia="Calibri" w:hAnsi="Calibri" w:cs="Calibri"/>
          <w:noProof/>
          <w:sz w:val="22"/>
        </w:rPr>
        <mc:AlternateContent>
          <mc:Choice Requires="wpg">
            <w:drawing>
              <wp:inline distT="0" distB="0" distL="0" distR="0">
                <wp:extent cx="5924550" cy="57150"/>
                <wp:effectExtent l="0" t="0" r="0" b="0"/>
                <wp:docPr id="7835" name="Group 7835"/>
                <wp:cNvGraphicFramePr/>
                <a:graphic xmlns:a="http://schemas.openxmlformats.org/drawingml/2006/main">
                  <a:graphicData uri="http://schemas.microsoft.com/office/word/2010/wordprocessingGroup">
                    <wpg:wgp>
                      <wpg:cNvGrpSpPr/>
                      <wpg:grpSpPr>
                        <a:xfrm>
                          <a:off x="0" y="0"/>
                          <a:ext cx="5924550" cy="57150"/>
                          <a:chOff x="0" y="0"/>
                          <a:chExt cx="5924550" cy="57150"/>
                        </a:xfrm>
                      </wpg:grpSpPr>
                      <wps:wsp>
                        <wps:cNvPr id="9435" name="Shape 9435"/>
                        <wps:cNvSpPr/>
                        <wps:spPr>
                          <a:xfrm>
                            <a:off x="0" y="45720"/>
                            <a:ext cx="5924550" cy="11430"/>
                          </a:xfrm>
                          <a:custGeom>
                            <a:avLst/>
                            <a:gdLst/>
                            <a:ahLst/>
                            <a:cxnLst/>
                            <a:rect l="0" t="0" r="0" b="0"/>
                            <a:pathLst>
                              <a:path w="5924550" h="11430">
                                <a:moveTo>
                                  <a:pt x="0" y="0"/>
                                </a:moveTo>
                                <a:lnTo>
                                  <a:pt x="5924550" y="0"/>
                                </a:lnTo>
                                <a:lnTo>
                                  <a:pt x="5924550" y="11430"/>
                                </a:lnTo>
                                <a:lnTo>
                                  <a:pt x="0" y="11430"/>
                                </a:lnTo>
                                <a:lnTo>
                                  <a:pt x="0" y="0"/>
                                </a:lnTo>
                              </a:path>
                            </a:pathLst>
                          </a:custGeom>
                          <a:ln w="0" cap="flat">
                            <a:miter lim="127000"/>
                          </a:ln>
                        </wps:spPr>
                        <wps:style>
                          <a:lnRef idx="0">
                            <a:srgbClr val="000000">
                              <a:alpha val="0"/>
                            </a:srgbClr>
                          </a:lnRef>
                          <a:fillRef idx="1">
                            <a:srgbClr val="993300"/>
                          </a:fillRef>
                          <a:effectRef idx="0">
                            <a:scrgbClr r="0" g="0" b="0"/>
                          </a:effectRef>
                          <a:fontRef idx="none"/>
                        </wps:style>
                        <wps:bodyPr/>
                      </wps:wsp>
                      <wps:wsp>
                        <wps:cNvPr id="9436" name="Shape 9436"/>
                        <wps:cNvSpPr/>
                        <wps:spPr>
                          <a:xfrm>
                            <a:off x="0" y="0"/>
                            <a:ext cx="5924550" cy="34289"/>
                          </a:xfrm>
                          <a:custGeom>
                            <a:avLst/>
                            <a:gdLst/>
                            <a:ahLst/>
                            <a:cxnLst/>
                            <a:rect l="0" t="0" r="0" b="0"/>
                            <a:pathLst>
                              <a:path w="5924550" h="34289">
                                <a:moveTo>
                                  <a:pt x="0" y="0"/>
                                </a:moveTo>
                                <a:lnTo>
                                  <a:pt x="5924550" y="0"/>
                                </a:lnTo>
                                <a:lnTo>
                                  <a:pt x="5924550" y="34289"/>
                                </a:lnTo>
                                <a:lnTo>
                                  <a:pt x="0" y="34289"/>
                                </a:lnTo>
                                <a:lnTo>
                                  <a:pt x="0" y="0"/>
                                </a:lnTo>
                              </a:path>
                            </a:pathLst>
                          </a:custGeom>
                          <a:ln w="0" cap="flat">
                            <a:miter lim="127000"/>
                          </a:ln>
                        </wps:spPr>
                        <wps:style>
                          <a:lnRef idx="0">
                            <a:srgbClr val="000000">
                              <a:alpha val="0"/>
                            </a:srgbClr>
                          </a:lnRef>
                          <a:fillRef idx="1">
                            <a:srgbClr val="993300"/>
                          </a:fillRef>
                          <a:effectRef idx="0">
                            <a:scrgbClr r="0" g="0" b="0"/>
                          </a:effectRef>
                          <a:fontRef idx="none"/>
                        </wps:style>
                        <wps:bodyPr/>
                      </wps:wsp>
                    </wpg:wgp>
                  </a:graphicData>
                </a:graphic>
              </wp:inline>
            </w:drawing>
          </mc:Choice>
          <mc:Fallback xmlns:a="http://schemas.openxmlformats.org/drawingml/2006/main">
            <w:pict>
              <v:group id="Group 7835" style="width:466.5pt;height:4.5pt;mso-position-horizontal-relative:char;mso-position-vertical-relative:line" coordsize="59245,571">
                <v:shape id="Shape 9437" style="position:absolute;width:59245;height:114;left:0;top:457;" coordsize="5924550,11430" path="m0,0l5924550,0l5924550,11430l0,11430l0,0">
                  <v:stroke weight="0pt" endcap="flat" joinstyle="miter" miterlimit="10" on="false" color="#000000" opacity="0"/>
                  <v:fill on="true" color="#993300"/>
                </v:shape>
                <v:shape id="Shape 9438" style="position:absolute;width:59245;height:342;left:0;top:0;" coordsize="5924550,34289" path="m0,0l5924550,0l5924550,34289l0,34289l0,0">
                  <v:stroke weight="0pt" endcap="flat" joinstyle="miter" miterlimit="10" on="false" color="#000000" opacity="0"/>
                  <v:fill on="true" color="#993300"/>
                </v:shape>
              </v:group>
            </w:pict>
          </mc:Fallback>
        </mc:AlternateContent>
      </w:r>
    </w:p>
    <w:p w:rsidR="00AC3AD7" w:rsidRDefault="003329A0">
      <w:pPr>
        <w:tabs>
          <w:tab w:val="center" w:pos="2160"/>
          <w:tab w:val="center" w:pos="4444"/>
        </w:tabs>
        <w:ind w:left="0" w:firstLine="0"/>
      </w:pPr>
      <w:r>
        <w:rPr>
          <w:b/>
        </w:rPr>
        <w:t xml:space="preserve">Document No. </w:t>
      </w:r>
      <w:r>
        <w:rPr>
          <w:b/>
        </w:rPr>
        <w:tab/>
        <w:t xml:space="preserve"> </w:t>
      </w:r>
      <w:r>
        <w:rPr>
          <w:b/>
        </w:rPr>
        <w:tab/>
        <w:t xml:space="preserve">: </w:t>
      </w:r>
      <w:r>
        <w:t>FDA/FSMD/GL-FBD/2012/01</w:t>
      </w:r>
      <w:r>
        <w:rPr>
          <w:b/>
          <w:sz w:val="28"/>
        </w:rPr>
        <w:t xml:space="preserve"> </w:t>
      </w:r>
    </w:p>
    <w:p w:rsidR="00AC3AD7" w:rsidRDefault="003329A0">
      <w:pPr>
        <w:spacing w:line="259" w:lineRule="auto"/>
        <w:ind w:left="-5"/>
      </w:pPr>
      <w:r>
        <w:rPr>
          <w:b/>
        </w:rPr>
        <w:t xml:space="preserve">Date of First Adoption </w:t>
      </w:r>
      <w:r>
        <w:rPr>
          <w:b/>
        </w:rPr>
        <w:tab/>
      </w:r>
      <w:r>
        <w:t>: 1</w:t>
      </w:r>
      <w:r>
        <w:rPr>
          <w:vertAlign w:val="superscript"/>
        </w:rPr>
        <w:t>st</w:t>
      </w:r>
      <w:r>
        <w:t xml:space="preserve"> February 2013 </w:t>
      </w:r>
      <w:r>
        <w:rPr>
          <w:b/>
        </w:rPr>
        <w:t xml:space="preserve">Date of </w:t>
      </w:r>
      <w:proofErr w:type="gramStart"/>
      <w:r>
        <w:rPr>
          <w:b/>
        </w:rPr>
        <w:t xml:space="preserve">Issue  </w:t>
      </w:r>
      <w:r>
        <w:rPr>
          <w:b/>
        </w:rPr>
        <w:tab/>
      </w:r>
      <w:proofErr w:type="gramEnd"/>
      <w:r>
        <w:rPr>
          <w:b/>
        </w:rPr>
        <w:t xml:space="preserve"> </w:t>
      </w:r>
      <w:r>
        <w:rPr>
          <w:b/>
        </w:rPr>
        <w:tab/>
      </w:r>
      <w:r>
        <w:t>: 1</w:t>
      </w:r>
      <w:r>
        <w:rPr>
          <w:vertAlign w:val="superscript"/>
        </w:rPr>
        <w:t>st</w:t>
      </w:r>
      <w:r>
        <w:t xml:space="preserve"> </w:t>
      </w:r>
      <w:r>
        <w:t xml:space="preserve">March 2013 </w:t>
      </w:r>
      <w:r>
        <w:rPr>
          <w:b/>
        </w:rPr>
        <w:t xml:space="preserve">Version No.  </w:t>
      </w:r>
      <w:r>
        <w:rPr>
          <w:b/>
        </w:rPr>
        <w:tab/>
        <w:t xml:space="preserve"> </w:t>
      </w:r>
      <w:r>
        <w:rPr>
          <w:b/>
        </w:rPr>
        <w:tab/>
      </w:r>
      <w:r>
        <w:t xml:space="preserve">: 01 </w:t>
      </w:r>
    </w:p>
    <w:p w:rsidR="008A7484" w:rsidRDefault="008A7484">
      <w:pPr>
        <w:spacing w:line="259" w:lineRule="auto"/>
        <w:ind w:left="-5"/>
      </w:pPr>
    </w:p>
    <w:p w:rsidR="008A7484" w:rsidRDefault="008A7484">
      <w:pPr>
        <w:spacing w:after="201" w:line="265" w:lineRule="auto"/>
        <w:ind w:left="-5"/>
        <w:rPr>
          <w:b/>
          <w:sz w:val="28"/>
        </w:rPr>
      </w:pPr>
      <w:bookmarkStart w:id="0" w:name="_GoBack"/>
      <w:bookmarkEnd w:id="0"/>
    </w:p>
    <w:p w:rsidR="00AC3AD7" w:rsidRDefault="003329A0">
      <w:pPr>
        <w:spacing w:after="201" w:line="265" w:lineRule="auto"/>
        <w:ind w:left="-5"/>
      </w:pPr>
      <w:r>
        <w:rPr>
          <w:b/>
          <w:sz w:val="28"/>
        </w:rPr>
        <w:t xml:space="preserve">TABLE OF CONTENT </w:t>
      </w:r>
    </w:p>
    <w:sdt>
      <w:sdtPr>
        <w:id w:val="376278597"/>
        <w:docPartObj>
          <w:docPartGallery w:val="Table of Contents"/>
        </w:docPartObj>
      </w:sdtPr>
      <w:sdtEndPr/>
      <w:sdtContent>
        <w:p w:rsidR="00AC3AD7" w:rsidRDefault="003329A0">
          <w:pPr>
            <w:pStyle w:val="TOC1"/>
            <w:tabs>
              <w:tab w:val="right" w:leader="dot" w:pos="9352"/>
            </w:tabs>
          </w:pPr>
          <w:r>
            <w:fldChar w:fldCharType="begin"/>
          </w:r>
          <w:r>
            <w:instrText xml:space="preserve"> TOC \o "1-2" \h \z \u </w:instrText>
          </w:r>
          <w:r>
            <w:fldChar w:fldCharType="separate"/>
          </w:r>
          <w:hyperlink w:anchor="_Toc9384">
            <w:r>
              <w:t>1.</w:t>
            </w:r>
            <w:r>
              <w:rPr>
                <w:sz w:val="28"/>
              </w:rPr>
              <w:t xml:space="preserve">  </w:t>
            </w:r>
            <w:r>
              <w:t>INTRODUCTION</w:t>
            </w:r>
            <w:r>
              <w:tab/>
            </w:r>
            <w:r>
              <w:fldChar w:fldCharType="begin"/>
            </w:r>
            <w:r>
              <w:instrText>PAGEREF _Toc9384 \h</w:instrText>
            </w:r>
            <w:r>
              <w:fldChar w:fldCharType="separate"/>
            </w:r>
            <w:r>
              <w:t xml:space="preserve">3 </w:t>
            </w:r>
            <w:r>
              <w:fldChar w:fldCharType="end"/>
            </w:r>
          </w:hyperlink>
        </w:p>
        <w:p w:rsidR="00AC3AD7" w:rsidRDefault="003329A0">
          <w:pPr>
            <w:pStyle w:val="TOC1"/>
            <w:tabs>
              <w:tab w:val="right" w:leader="dot" w:pos="9352"/>
            </w:tabs>
          </w:pPr>
          <w:hyperlink w:anchor="_Toc9385">
            <w:r>
              <w:t>2.</w:t>
            </w:r>
            <w:r>
              <w:rPr>
                <w:sz w:val="28"/>
              </w:rPr>
              <w:t xml:space="preserve">  </w:t>
            </w:r>
            <w:r>
              <w:t>GLOSSARY</w:t>
            </w:r>
            <w:r>
              <w:tab/>
            </w:r>
            <w:r>
              <w:fldChar w:fldCharType="begin"/>
            </w:r>
            <w:r>
              <w:instrText>PAGEREF _Toc9385 \h</w:instrText>
            </w:r>
            <w:r>
              <w:fldChar w:fldCharType="separate"/>
            </w:r>
            <w:r>
              <w:t xml:space="preserve">4 </w:t>
            </w:r>
            <w:r>
              <w:fldChar w:fldCharType="end"/>
            </w:r>
          </w:hyperlink>
        </w:p>
        <w:p w:rsidR="00AC3AD7" w:rsidRDefault="003329A0">
          <w:pPr>
            <w:pStyle w:val="TOC1"/>
            <w:tabs>
              <w:tab w:val="right" w:leader="dot" w:pos="9352"/>
            </w:tabs>
          </w:pPr>
          <w:hyperlink w:anchor="_Toc9386">
            <w:r>
              <w:t>3.</w:t>
            </w:r>
            <w:r>
              <w:rPr>
                <w:sz w:val="28"/>
              </w:rPr>
              <w:t xml:space="preserve">  </w:t>
            </w:r>
            <w:r>
              <w:t>REQUIREMENTS</w:t>
            </w:r>
            <w:r>
              <w:tab/>
            </w:r>
            <w:r>
              <w:fldChar w:fldCharType="begin"/>
            </w:r>
            <w:r>
              <w:instrText>PAGEREF _Toc9386 \h</w:instrText>
            </w:r>
            <w:r>
              <w:fldChar w:fldCharType="separate"/>
            </w:r>
            <w:r>
              <w:t>5</w:t>
            </w:r>
            <w:r>
              <w:t xml:space="preserve"> </w:t>
            </w:r>
            <w:r>
              <w:fldChar w:fldCharType="end"/>
            </w:r>
          </w:hyperlink>
        </w:p>
        <w:p w:rsidR="00AC3AD7" w:rsidRDefault="003329A0">
          <w:pPr>
            <w:pStyle w:val="TOC2"/>
            <w:tabs>
              <w:tab w:val="right" w:leader="dot" w:pos="9352"/>
            </w:tabs>
          </w:pPr>
          <w:hyperlink w:anchor="_Toc9387">
            <w:r>
              <w:t>4.1.</w:t>
            </w:r>
            <w:r>
              <w:rPr>
                <w:sz w:val="28"/>
              </w:rPr>
              <w:t xml:space="preserve"> </w:t>
            </w:r>
            <w:r>
              <w:t>FOOD BORNE DISEASE COMMITTEE</w:t>
            </w:r>
            <w:r>
              <w:tab/>
            </w:r>
            <w:r>
              <w:fldChar w:fldCharType="begin"/>
            </w:r>
            <w:r>
              <w:instrText>PAGEREF _Toc9387 \h</w:instrText>
            </w:r>
            <w:r>
              <w:fldChar w:fldCharType="separate"/>
            </w:r>
            <w:r>
              <w:t xml:space="preserve">5 </w:t>
            </w:r>
            <w:r>
              <w:fldChar w:fldCharType="end"/>
            </w:r>
          </w:hyperlink>
        </w:p>
        <w:p w:rsidR="00AC3AD7" w:rsidRDefault="003329A0">
          <w:pPr>
            <w:pStyle w:val="TOC2"/>
            <w:tabs>
              <w:tab w:val="right" w:leader="dot" w:pos="9352"/>
            </w:tabs>
          </w:pPr>
          <w:hyperlink w:anchor="_Toc9388">
            <w:r>
              <w:t>4.2.</w:t>
            </w:r>
            <w:r>
              <w:rPr>
                <w:sz w:val="28"/>
              </w:rPr>
              <w:t xml:space="preserve"> </w:t>
            </w:r>
            <w:r>
              <w:t>ESTABL</w:t>
            </w:r>
            <w:r>
              <w:t>ISHMENT OF CONTROL SYSTEMS</w:t>
            </w:r>
            <w:r>
              <w:tab/>
            </w:r>
            <w:r>
              <w:fldChar w:fldCharType="begin"/>
            </w:r>
            <w:r>
              <w:instrText>PAGEREF _Toc9388 \h</w:instrText>
            </w:r>
            <w:r>
              <w:fldChar w:fldCharType="separate"/>
            </w:r>
            <w:r>
              <w:t xml:space="preserve">5 </w:t>
            </w:r>
            <w:r>
              <w:fldChar w:fldCharType="end"/>
            </w:r>
          </w:hyperlink>
        </w:p>
        <w:p w:rsidR="00AC3AD7" w:rsidRDefault="003329A0">
          <w:pPr>
            <w:pStyle w:val="TOC1"/>
            <w:tabs>
              <w:tab w:val="right" w:leader="dot" w:pos="9352"/>
            </w:tabs>
          </w:pPr>
          <w:hyperlink w:anchor="_Toc9389">
            <w:r>
              <w:t>4.</w:t>
            </w:r>
            <w:r>
              <w:rPr>
                <w:sz w:val="28"/>
              </w:rPr>
              <w:t xml:space="preserve">  </w:t>
            </w:r>
            <w:r>
              <w:t>PROCEDURES</w:t>
            </w:r>
            <w:r>
              <w:tab/>
            </w:r>
            <w:r>
              <w:fldChar w:fldCharType="begin"/>
            </w:r>
            <w:r>
              <w:instrText>PAGEREF _Toc9389 \h</w:instrText>
            </w:r>
            <w:r>
              <w:fldChar w:fldCharType="separate"/>
            </w:r>
            <w:r>
              <w:t xml:space="preserve">5 </w:t>
            </w:r>
            <w:r>
              <w:fldChar w:fldCharType="end"/>
            </w:r>
          </w:hyperlink>
        </w:p>
        <w:p w:rsidR="00AC3AD7" w:rsidRDefault="003329A0">
          <w:pPr>
            <w:pStyle w:val="TOC2"/>
            <w:tabs>
              <w:tab w:val="right" w:leader="dot" w:pos="9352"/>
            </w:tabs>
          </w:pPr>
          <w:hyperlink w:anchor="_Toc9390">
            <w:r>
              <w:t>4.1.</w:t>
            </w:r>
            <w:r>
              <w:rPr>
                <w:sz w:val="28"/>
              </w:rPr>
              <w:t xml:space="preserve"> </w:t>
            </w:r>
            <w:r>
              <w:t>INVESTIGATION METHODS</w:t>
            </w:r>
            <w:r>
              <w:tab/>
            </w:r>
            <w:r>
              <w:fldChar w:fldCharType="begin"/>
            </w:r>
            <w:r>
              <w:instrText>PAGEREF _Toc9390 \h</w:instrText>
            </w:r>
            <w:r>
              <w:fldChar w:fldCharType="separate"/>
            </w:r>
            <w:r>
              <w:t xml:space="preserve">5 </w:t>
            </w:r>
            <w:r>
              <w:fldChar w:fldCharType="end"/>
            </w:r>
          </w:hyperlink>
        </w:p>
        <w:p w:rsidR="00AC3AD7" w:rsidRDefault="003329A0">
          <w:pPr>
            <w:pStyle w:val="TOC2"/>
            <w:tabs>
              <w:tab w:val="right" w:leader="dot" w:pos="9352"/>
            </w:tabs>
          </w:pPr>
          <w:hyperlink w:anchor="_Toc9391">
            <w:r>
              <w:t>4.2.</w:t>
            </w:r>
            <w:r>
              <w:rPr>
                <w:sz w:val="28"/>
              </w:rPr>
              <w:t xml:space="preserve"> </w:t>
            </w:r>
            <w:r>
              <w:t>EXAMINATION OF PER</w:t>
            </w:r>
            <w:r>
              <w:t>SONS</w:t>
            </w:r>
            <w:r>
              <w:tab/>
            </w:r>
            <w:r>
              <w:fldChar w:fldCharType="begin"/>
            </w:r>
            <w:r>
              <w:instrText>PAGEREF _Toc9391 \h</w:instrText>
            </w:r>
            <w:r>
              <w:fldChar w:fldCharType="separate"/>
            </w:r>
            <w:r>
              <w:t xml:space="preserve">6 </w:t>
            </w:r>
            <w:r>
              <w:fldChar w:fldCharType="end"/>
            </w:r>
          </w:hyperlink>
        </w:p>
        <w:p w:rsidR="00AC3AD7" w:rsidRDefault="003329A0">
          <w:pPr>
            <w:pStyle w:val="TOC2"/>
            <w:tabs>
              <w:tab w:val="right" w:leader="dot" w:pos="9352"/>
            </w:tabs>
          </w:pPr>
          <w:hyperlink w:anchor="_Toc9392">
            <w:r>
              <w:t>4.3.</w:t>
            </w:r>
            <w:r>
              <w:rPr>
                <w:sz w:val="28"/>
              </w:rPr>
              <w:t xml:space="preserve"> </w:t>
            </w:r>
            <w:r>
              <w:t>EXAMINATION OF FACILITY</w:t>
            </w:r>
            <w:r>
              <w:tab/>
            </w:r>
            <w:r>
              <w:fldChar w:fldCharType="begin"/>
            </w:r>
            <w:r>
              <w:instrText>PAGEREF _Toc9392 \h</w:instrText>
            </w:r>
            <w:r>
              <w:fldChar w:fldCharType="separate"/>
            </w:r>
            <w:r>
              <w:t xml:space="preserve">6 </w:t>
            </w:r>
            <w:r>
              <w:fldChar w:fldCharType="end"/>
            </w:r>
          </w:hyperlink>
        </w:p>
        <w:p w:rsidR="00AC3AD7" w:rsidRDefault="003329A0">
          <w:pPr>
            <w:pStyle w:val="TOC2"/>
            <w:tabs>
              <w:tab w:val="right" w:leader="dot" w:pos="9352"/>
            </w:tabs>
          </w:pPr>
          <w:hyperlink w:anchor="_Toc9393">
            <w:r>
              <w:t>4.4.</w:t>
            </w:r>
            <w:r>
              <w:rPr>
                <w:sz w:val="28"/>
              </w:rPr>
              <w:t xml:space="preserve"> </w:t>
            </w:r>
            <w:r>
              <w:t xml:space="preserve">PRESUMPTION AND DETERMINATION OF ETIOLOGIC FOOD AND </w:t>
            </w:r>
            <w:r>
              <w:tab/>
            </w:r>
            <w:r>
              <w:fldChar w:fldCharType="begin"/>
            </w:r>
            <w:r>
              <w:instrText>PAGEREF _Toc9393 \h</w:instrText>
            </w:r>
            <w:r>
              <w:fldChar w:fldCharType="end"/>
            </w:r>
          </w:hyperlink>
        </w:p>
        <w:p w:rsidR="00AC3AD7" w:rsidRDefault="003329A0">
          <w:pPr>
            <w:pStyle w:val="TOC2"/>
            <w:tabs>
              <w:tab w:val="right" w:leader="dot" w:pos="9352"/>
            </w:tabs>
          </w:pPr>
          <w:hyperlink w:anchor="_Toc9394">
            <w:r>
              <w:t>FACILITY</w:t>
            </w:r>
            <w:r>
              <w:tab/>
            </w:r>
            <w:r>
              <w:fldChar w:fldCharType="begin"/>
            </w:r>
            <w:r>
              <w:instrText>PAGEREF _Toc9394 \h</w:instrText>
            </w:r>
            <w:r>
              <w:fldChar w:fldCharType="separate"/>
            </w:r>
            <w:r>
              <w:t xml:space="preserve">6 </w:t>
            </w:r>
            <w:r>
              <w:fldChar w:fldCharType="end"/>
            </w:r>
          </w:hyperlink>
        </w:p>
        <w:p w:rsidR="00AC3AD7" w:rsidRDefault="003329A0">
          <w:pPr>
            <w:pStyle w:val="TOC2"/>
            <w:tabs>
              <w:tab w:val="right" w:leader="dot" w:pos="9352"/>
            </w:tabs>
          </w:pPr>
          <w:hyperlink w:anchor="_Toc9395">
            <w:r>
              <w:t>4.5.</w:t>
            </w:r>
            <w:r>
              <w:rPr>
                <w:sz w:val="28"/>
              </w:rPr>
              <w:t xml:space="preserve"> </w:t>
            </w:r>
            <w:r>
              <w:t>INVESTIGATION OF DISTRIBUTION SYSTEMS</w:t>
            </w:r>
            <w:r>
              <w:tab/>
            </w:r>
            <w:r>
              <w:fldChar w:fldCharType="begin"/>
            </w:r>
            <w:r>
              <w:instrText>PAGEREF _Toc9395 \h</w:instrText>
            </w:r>
            <w:r>
              <w:fldChar w:fldCharType="separate"/>
            </w:r>
            <w:r>
              <w:t xml:space="preserve">7 </w:t>
            </w:r>
            <w:r>
              <w:fldChar w:fldCharType="end"/>
            </w:r>
          </w:hyperlink>
        </w:p>
        <w:p w:rsidR="00AC3AD7" w:rsidRDefault="003329A0">
          <w:pPr>
            <w:pStyle w:val="TOC1"/>
            <w:tabs>
              <w:tab w:val="right" w:leader="dot" w:pos="9352"/>
            </w:tabs>
          </w:pPr>
          <w:hyperlink w:anchor="_Toc9396">
            <w:r>
              <w:t>5.</w:t>
            </w:r>
            <w:r>
              <w:rPr>
                <w:sz w:val="28"/>
              </w:rPr>
              <w:t xml:space="preserve">  </w:t>
            </w:r>
            <w:r>
              <w:t>PREVENTIVE/ CONTROL MEASURES</w:t>
            </w:r>
            <w:r>
              <w:tab/>
            </w:r>
            <w:r>
              <w:fldChar w:fldCharType="begin"/>
            </w:r>
            <w:r>
              <w:instrText>PAGEREF _Toc9396 \</w:instrText>
            </w:r>
            <w:r>
              <w:instrText>h</w:instrText>
            </w:r>
            <w:r>
              <w:fldChar w:fldCharType="separate"/>
            </w:r>
            <w:r>
              <w:t xml:space="preserve">7 </w:t>
            </w:r>
            <w:r>
              <w:fldChar w:fldCharType="end"/>
            </w:r>
          </w:hyperlink>
        </w:p>
        <w:p w:rsidR="00AC3AD7" w:rsidRDefault="003329A0">
          <w:pPr>
            <w:pStyle w:val="TOC2"/>
            <w:tabs>
              <w:tab w:val="right" w:leader="dot" w:pos="9352"/>
            </w:tabs>
          </w:pPr>
          <w:hyperlink w:anchor="_Toc9397">
            <w:r>
              <w:t>5.1.</w:t>
            </w:r>
            <w:r>
              <w:rPr>
                <w:sz w:val="28"/>
              </w:rPr>
              <w:t xml:space="preserve"> </w:t>
            </w:r>
            <w:r>
              <w:t>MEASURES FOR THE ETIOLOGIC FACILITY</w:t>
            </w:r>
            <w:r>
              <w:tab/>
            </w:r>
            <w:r>
              <w:fldChar w:fldCharType="begin"/>
            </w:r>
            <w:r>
              <w:instrText>PAGEREF _Toc9397 \h</w:instrText>
            </w:r>
            <w:r>
              <w:fldChar w:fldCharType="separate"/>
            </w:r>
            <w:r>
              <w:t xml:space="preserve">7 </w:t>
            </w:r>
            <w:r>
              <w:fldChar w:fldCharType="end"/>
            </w:r>
          </w:hyperlink>
        </w:p>
        <w:p w:rsidR="00AC3AD7" w:rsidRDefault="003329A0">
          <w:pPr>
            <w:pStyle w:val="TOC1"/>
            <w:tabs>
              <w:tab w:val="right" w:leader="dot" w:pos="9352"/>
            </w:tabs>
          </w:pPr>
          <w:hyperlink w:anchor="_Toc9398">
            <w:r>
              <w:t>6.</w:t>
            </w:r>
            <w:r>
              <w:rPr>
                <w:sz w:val="28"/>
              </w:rPr>
              <w:t xml:space="preserve">  </w:t>
            </w:r>
            <w:r>
              <w:t>OFFICIAL ANNOUNCEMENT ON THE OUTBREAK</w:t>
            </w:r>
            <w:r>
              <w:tab/>
            </w:r>
            <w:r>
              <w:fldChar w:fldCharType="begin"/>
            </w:r>
            <w:r>
              <w:instrText>PAGEREF _Toc9398 \h</w:instrText>
            </w:r>
            <w:r>
              <w:fldChar w:fldCharType="separate"/>
            </w:r>
            <w:r>
              <w:t xml:space="preserve">8 </w:t>
            </w:r>
            <w:r>
              <w:fldChar w:fldCharType="end"/>
            </w:r>
          </w:hyperlink>
        </w:p>
        <w:p w:rsidR="00AC3AD7" w:rsidRDefault="003329A0">
          <w:pPr>
            <w:pStyle w:val="TOC1"/>
            <w:tabs>
              <w:tab w:val="right" w:leader="dot" w:pos="9352"/>
            </w:tabs>
          </w:pPr>
          <w:hyperlink w:anchor="_Toc9399">
            <w:r>
              <w:t>7.</w:t>
            </w:r>
            <w:r>
              <w:rPr>
                <w:sz w:val="28"/>
              </w:rPr>
              <w:t xml:space="preserve">  </w:t>
            </w:r>
            <w:r>
              <w:t>SUB</w:t>
            </w:r>
            <w:r>
              <w:t>MISSION OF REPORTS</w:t>
            </w:r>
            <w:r>
              <w:tab/>
            </w:r>
            <w:r>
              <w:fldChar w:fldCharType="begin"/>
            </w:r>
            <w:r>
              <w:instrText>PAGEREF _Toc9399 \h</w:instrText>
            </w:r>
            <w:r>
              <w:fldChar w:fldCharType="separate"/>
            </w:r>
            <w:r>
              <w:t xml:space="preserve">8 </w:t>
            </w:r>
            <w:r>
              <w:fldChar w:fldCharType="end"/>
            </w:r>
          </w:hyperlink>
        </w:p>
        <w:p w:rsidR="00AC3AD7" w:rsidRDefault="003329A0">
          <w:r>
            <w:fldChar w:fldCharType="end"/>
          </w:r>
        </w:p>
      </w:sdtContent>
    </w:sdt>
    <w:p w:rsidR="00AC3AD7" w:rsidRDefault="003329A0">
      <w:pPr>
        <w:spacing w:after="0" w:line="259" w:lineRule="auto"/>
        <w:ind w:left="0" w:firstLine="0"/>
      </w:pPr>
      <w:r>
        <w:rPr>
          <w:rFonts w:ascii="Calibri" w:eastAsia="Calibri" w:hAnsi="Calibri" w:cs="Calibri"/>
          <w:sz w:val="22"/>
        </w:rPr>
        <w:t xml:space="preserve"> </w:t>
      </w:r>
    </w:p>
    <w:p w:rsidR="00AC3AD7" w:rsidRDefault="003329A0">
      <w:pPr>
        <w:pStyle w:val="Heading1"/>
        <w:spacing w:after="246"/>
        <w:ind w:left="-5"/>
      </w:pPr>
      <w:bookmarkStart w:id="1" w:name="_Toc9384"/>
      <w:r>
        <w:t>1.</w:t>
      </w:r>
      <w:r>
        <w:rPr>
          <w:rFonts w:ascii="Arial" w:eastAsia="Arial" w:hAnsi="Arial" w:cs="Arial"/>
        </w:rPr>
        <w:t xml:space="preserve"> </w:t>
      </w:r>
      <w:r>
        <w:t xml:space="preserve">INTRODUCTION </w:t>
      </w:r>
      <w:bookmarkEnd w:id="1"/>
    </w:p>
    <w:p w:rsidR="00AC3AD7" w:rsidRDefault="003329A0">
      <w:pPr>
        <w:spacing w:line="357" w:lineRule="auto"/>
        <w:ind w:left="370" w:right="306"/>
      </w:pPr>
      <w:r>
        <w:t>In exercise of the powers conferred on the Food and Drugs Authority (FDA) by Part Seven, section 134 subsections 3 of the Publi</w:t>
      </w:r>
      <w:r>
        <w:t>c Health Act, 2012, Act 851, these guidelines shall be applied in the event of an outbreak of food borne disease. It outlines procedures for an inter-agency investigation of food borne disease outbreaks and stipulates control measures to be applied to prev</w:t>
      </w:r>
      <w:r>
        <w:t xml:space="preserve">ent its spread and recurrence. </w:t>
      </w:r>
    </w:p>
    <w:p w:rsidR="00AC3AD7" w:rsidRDefault="003329A0">
      <w:pPr>
        <w:spacing w:after="112" w:line="259" w:lineRule="auto"/>
        <w:ind w:left="360" w:firstLine="0"/>
      </w:pPr>
      <w:r>
        <w:t xml:space="preserve"> </w:t>
      </w:r>
    </w:p>
    <w:p w:rsidR="00AC3AD7" w:rsidRDefault="003329A0">
      <w:pPr>
        <w:spacing w:after="111"/>
        <w:ind w:left="370" w:right="306"/>
      </w:pPr>
      <w:r>
        <w:t xml:space="preserve">The purpose of these guidelines is to: </w:t>
      </w:r>
    </w:p>
    <w:p w:rsidR="00AC3AD7" w:rsidRDefault="003329A0">
      <w:pPr>
        <w:numPr>
          <w:ilvl w:val="0"/>
          <w:numId w:val="1"/>
        </w:numPr>
        <w:spacing w:after="116" w:line="259" w:lineRule="auto"/>
        <w:ind w:right="306" w:hanging="360"/>
      </w:pPr>
      <w:r>
        <w:t xml:space="preserve">Show actual procedures for the investigation of food borne disease outbreaks </w:t>
      </w:r>
    </w:p>
    <w:p w:rsidR="00AC3AD7" w:rsidRDefault="003329A0">
      <w:pPr>
        <w:numPr>
          <w:ilvl w:val="0"/>
          <w:numId w:val="1"/>
        </w:numPr>
        <w:spacing w:after="110"/>
        <w:ind w:right="306" w:hanging="360"/>
      </w:pPr>
      <w:r>
        <w:lastRenderedPageBreak/>
        <w:t xml:space="preserve">Provide a quick and precise means to determine the cause of food borne disease, </w:t>
      </w:r>
    </w:p>
    <w:p w:rsidR="00AC3AD7" w:rsidRDefault="003329A0">
      <w:pPr>
        <w:numPr>
          <w:ilvl w:val="0"/>
          <w:numId w:val="1"/>
        </w:numPr>
        <w:spacing w:line="356" w:lineRule="auto"/>
        <w:ind w:right="306" w:hanging="360"/>
      </w:pPr>
      <w:r>
        <w:t xml:space="preserve">Undertake appropriate measures to remove the cause of food borne disease and prevent further spread of the outbreak. </w:t>
      </w:r>
    </w:p>
    <w:p w:rsidR="00AC3AD7" w:rsidRDefault="003329A0">
      <w:pPr>
        <w:numPr>
          <w:ilvl w:val="0"/>
          <w:numId w:val="1"/>
        </w:numPr>
        <w:spacing w:after="104"/>
        <w:ind w:right="306" w:hanging="360"/>
      </w:pPr>
      <w:r>
        <w:t xml:space="preserve">Evaluate all such cases scientifically and objectively </w:t>
      </w:r>
    </w:p>
    <w:p w:rsidR="00AC3AD7" w:rsidRDefault="003329A0">
      <w:pPr>
        <w:spacing w:after="115" w:line="259" w:lineRule="auto"/>
        <w:ind w:left="360" w:firstLine="0"/>
      </w:pPr>
      <w:r>
        <w:t xml:space="preserve"> </w:t>
      </w:r>
    </w:p>
    <w:p w:rsidR="00AC3AD7" w:rsidRDefault="003329A0">
      <w:pPr>
        <w:spacing w:after="112" w:line="259" w:lineRule="auto"/>
        <w:ind w:left="360" w:firstLine="0"/>
      </w:pPr>
      <w:r>
        <w:t xml:space="preserve"> </w:t>
      </w:r>
    </w:p>
    <w:p w:rsidR="00AC3AD7" w:rsidRDefault="003329A0">
      <w:pPr>
        <w:ind w:left="370" w:right="306"/>
      </w:pPr>
      <w:r>
        <w:t xml:space="preserve">This guideline is hereby promulgated for information, guidance and strict compliance by all concerned. </w:t>
      </w:r>
    </w:p>
    <w:p w:rsidR="00AC3AD7" w:rsidRDefault="003329A0">
      <w:pPr>
        <w:pStyle w:val="Heading1"/>
        <w:spacing w:after="246"/>
        <w:ind w:left="-5"/>
      </w:pPr>
      <w:bookmarkStart w:id="2" w:name="_Toc9385"/>
      <w:r>
        <w:t>2.</w:t>
      </w:r>
      <w:r>
        <w:rPr>
          <w:rFonts w:ascii="Arial" w:eastAsia="Arial" w:hAnsi="Arial" w:cs="Arial"/>
        </w:rPr>
        <w:t xml:space="preserve"> </w:t>
      </w:r>
      <w:r>
        <w:t xml:space="preserve">GLOSSARY </w:t>
      </w:r>
      <w:bookmarkEnd w:id="2"/>
    </w:p>
    <w:p w:rsidR="00AC3AD7" w:rsidRDefault="003329A0">
      <w:pPr>
        <w:spacing w:after="115"/>
        <w:ind w:left="370" w:right="306"/>
      </w:pPr>
      <w:r>
        <w:t xml:space="preserve">For the purpose of these guidelines the following definitions shall apply:  </w:t>
      </w:r>
    </w:p>
    <w:p w:rsidR="00AC3AD7" w:rsidRDefault="003329A0">
      <w:pPr>
        <w:spacing w:after="149"/>
        <w:ind w:left="370" w:right="306"/>
      </w:pPr>
      <w:r>
        <w:rPr>
          <w:b/>
          <w:i/>
        </w:rPr>
        <w:t xml:space="preserve">“etiologic </w:t>
      </w:r>
      <w:proofErr w:type="gramStart"/>
      <w:r>
        <w:rPr>
          <w:b/>
          <w:i/>
        </w:rPr>
        <w:t xml:space="preserve">food”  </w:t>
      </w:r>
      <w:r>
        <w:t>means</w:t>
      </w:r>
      <w:proofErr w:type="gramEnd"/>
      <w:r>
        <w:t xml:space="preserve"> food which is suspected to have caused food borne disease;  </w:t>
      </w:r>
    </w:p>
    <w:p w:rsidR="00AC3AD7" w:rsidRDefault="003329A0">
      <w:pPr>
        <w:spacing w:line="356" w:lineRule="auto"/>
        <w:ind w:left="370" w:right="306"/>
      </w:pPr>
      <w:r>
        <w:rPr>
          <w:b/>
          <w:i/>
        </w:rPr>
        <w:t xml:space="preserve">“etiologic </w:t>
      </w:r>
      <w:proofErr w:type="gramStart"/>
      <w:r>
        <w:rPr>
          <w:b/>
          <w:i/>
        </w:rPr>
        <w:t>facility</w:t>
      </w:r>
      <w:r>
        <w:t>”  means</w:t>
      </w:r>
      <w:proofErr w:type="gramEnd"/>
      <w:r>
        <w:t xml:space="preserve"> facility from which the etiologic food is suspected to have </w:t>
      </w:r>
      <w:r>
        <w:t xml:space="preserve">been prepared/ produced/ manufactured, distributed or offered for sale; </w:t>
      </w:r>
    </w:p>
    <w:p w:rsidR="00AC3AD7" w:rsidRDefault="003329A0">
      <w:pPr>
        <w:spacing w:after="208" w:line="357" w:lineRule="auto"/>
        <w:ind w:left="360" w:right="311" w:firstLine="0"/>
        <w:jc w:val="both"/>
      </w:pPr>
      <w:r>
        <w:rPr>
          <w:b/>
        </w:rPr>
        <w:t>“</w:t>
      </w:r>
      <w:r>
        <w:rPr>
          <w:b/>
          <w:i/>
        </w:rPr>
        <w:t>food</w:t>
      </w:r>
      <w:r>
        <w:rPr>
          <w:b/>
        </w:rPr>
        <w:t xml:space="preserve">” </w:t>
      </w:r>
      <w:r>
        <w:t xml:space="preserve">means any article manufactured, sold or represented for human consumption, chewing gum, water and any ingredient of such food or drink, chewing gum or water; </w:t>
      </w:r>
      <w:r>
        <w:rPr>
          <w:b/>
        </w:rPr>
        <w:t>“</w:t>
      </w:r>
      <w:proofErr w:type="gramStart"/>
      <w:r>
        <w:rPr>
          <w:b/>
          <w:i/>
        </w:rPr>
        <w:t>food  poisoning</w:t>
      </w:r>
      <w:proofErr w:type="gramEnd"/>
      <w:r>
        <w:rPr>
          <w:b/>
        </w:rPr>
        <w:t xml:space="preserve">” </w:t>
      </w:r>
      <w:r>
        <w:rPr>
          <w:b/>
        </w:rPr>
        <w:t xml:space="preserve"> </w:t>
      </w:r>
      <w:r>
        <w:t xml:space="preserve">means  illnesses  contracted  through  the  consumption  of contaminated  food.  </w:t>
      </w:r>
      <w:proofErr w:type="gramStart"/>
      <w:r>
        <w:t>It  also</w:t>
      </w:r>
      <w:proofErr w:type="gramEnd"/>
      <w:r>
        <w:t xml:space="preserve">  applies  to  illnesses  caused  by  chemical  contaminants, toxins caused by bacterial growth and a variety of organic substances that may be present in natural foo</w:t>
      </w:r>
      <w:r>
        <w:t xml:space="preserve">ds such as certain mushrooms and some sea foods; and </w:t>
      </w:r>
    </w:p>
    <w:p w:rsidR="00AC3AD7" w:rsidRDefault="003329A0">
      <w:pPr>
        <w:ind w:left="370" w:right="306"/>
      </w:pPr>
      <w:r>
        <w:rPr>
          <w:b/>
          <w:i/>
        </w:rPr>
        <w:t xml:space="preserve">“survey” </w:t>
      </w:r>
      <w:r>
        <w:t xml:space="preserve">means a systematic collection of information or data. </w:t>
      </w:r>
      <w:r>
        <w:br w:type="page"/>
      </w:r>
    </w:p>
    <w:p w:rsidR="00AC3AD7" w:rsidRDefault="003329A0">
      <w:pPr>
        <w:pStyle w:val="Heading1"/>
        <w:spacing w:after="486"/>
        <w:ind w:left="-5"/>
      </w:pPr>
      <w:bookmarkStart w:id="3" w:name="_Toc9386"/>
      <w:r>
        <w:lastRenderedPageBreak/>
        <w:t>3.</w:t>
      </w:r>
      <w:r>
        <w:rPr>
          <w:rFonts w:ascii="Arial" w:eastAsia="Arial" w:hAnsi="Arial" w:cs="Arial"/>
        </w:rPr>
        <w:t xml:space="preserve"> </w:t>
      </w:r>
      <w:r>
        <w:t xml:space="preserve">REQUIREMENTS </w:t>
      </w:r>
      <w:bookmarkEnd w:id="3"/>
    </w:p>
    <w:p w:rsidR="00AC3AD7" w:rsidRDefault="003329A0">
      <w:pPr>
        <w:pStyle w:val="Heading2"/>
        <w:spacing w:after="96"/>
        <w:ind w:left="250"/>
      </w:pPr>
      <w:bookmarkStart w:id="4" w:name="_Toc9387"/>
      <w:r>
        <w:rPr>
          <w:sz w:val="26"/>
        </w:rPr>
        <w:t>4.1.</w:t>
      </w:r>
      <w:r>
        <w:rPr>
          <w:rFonts w:ascii="Arial" w:eastAsia="Arial" w:hAnsi="Arial" w:cs="Arial"/>
          <w:sz w:val="26"/>
        </w:rPr>
        <w:t xml:space="preserve"> </w:t>
      </w:r>
      <w:r>
        <w:rPr>
          <w:rFonts w:ascii="Arial" w:eastAsia="Arial" w:hAnsi="Arial" w:cs="Arial"/>
          <w:i/>
        </w:rPr>
        <w:t xml:space="preserve">  </w:t>
      </w:r>
      <w:r>
        <w:t>FOOD BORNE DISEASE COMMITTEE</w:t>
      </w:r>
      <w:r>
        <w:rPr>
          <w:rFonts w:ascii="Arial" w:eastAsia="Arial" w:hAnsi="Arial" w:cs="Arial"/>
          <w:i/>
        </w:rPr>
        <w:t xml:space="preserve"> </w:t>
      </w:r>
      <w:bookmarkEnd w:id="4"/>
    </w:p>
    <w:p w:rsidR="00AC3AD7" w:rsidRDefault="003329A0">
      <w:pPr>
        <w:spacing w:after="119" w:line="360" w:lineRule="auto"/>
        <w:ind w:left="1800" w:right="306" w:hanging="900"/>
      </w:pPr>
      <w:r>
        <w:t>3.1.1.</w:t>
      </w:r>
      <w:r>
        <w:rPr>
          <w:rFonts w:ascii="Arial" w:eastAsia="Arial" w:hAnsi="Arial" w:cs="Arial"/>
        </w:rPr>
        <w:t xml:space="preserve"> </w:t>
      </w:r>
      <w:r>
        <w:rPr>
          <w:rFonts w:ascii="Arial" w:eastAsia="Arial" w:hAnsi="Arial" w:cs="Arial"/>
        </w:rPr>
        <w:tab/>
      </w:r>
      <w:r>
        <w:t xml:space="preserve">The Food Drugs Authority shall form an ad hoc inter-agency committee, Food </w:t>
      </w:r>
      <w:r>
        <w:t xml:space="preserve">Borne Disease Committee (FBDC), for handling outbreaks of food borne disease. </w:t>
      </w:r>
    </w:p>
    <w:p w:rsidR="00AC3AD7" w:rsidRDefault="003329A0">
      <w:pPr>
        <w:spacing w:after="115" w:line="364" w:lineRule="auto"/>
        <w:ind w:left="1800" w:right="306" w:hanging="900"/>
      </w:pPr>
      <w:r>
        <w:t>3.1.2.</w:t>
      </w:r>
      <w:r>
        <w:rPr>
          <w:rFonts w:ascii="Arial" w:eastAsia="Arial" w:hAnsi="Arial" w:cs="Arial"/>
        </w:rPr>
        <w:t xml:space="preserve"> </w:t>
      </w:r>
      <w:r>
        <w:rPr>
          <w:rFonts w:ascii="Arial" w:eastAsia="Arial" w:hAnsi="Arial" w:cs="Arial"/>
        </w:rPr>
        <w:tab/>
      </w:r>
      <w:r>
        <w:t xml:space="preserve">The committee shall include officers from the Food Drugs Authority, Ministry of Health (MOH), NADMO and other relevant agencies. </w:t>
      </w:r>
    </w:p>
    <w:p w:rsidR="00AC3AD7" w:rsidRDefault="003329A0">
      <w:pPr>
        <w:spacing w:after="221" w:line="360" w:lineRule="auto"/>
        <w:ind w:left="1800" w:right="306" w:hanging="900"/>
      </w:pPr>
      <w:r>
        <w:t>3.1.3.</w:t>
      </w:r>
      <w:r>
        <w:rPr>
          <w:rFonts w:ascii="Arial" w:eastAsia="Arial" w:hAnsi="Arial" w:cs="Arial"/>
        </w:rPr>
        <w:t xml:space="preserve"> </w:t>
      </w:r>
      <w:r>
        <w:rPr>
          <w:rFonts w:ascii="Arial" w:eastAsia="Arial" w:hAnsi="Arial" w:cs="Arial"/>
        </w:rPr>
        <w:tab/>
      </w:r>
      <w:r>
        <w:t>Upon obtaining information on f</w:t>
      </w:r>
      <w:r>
        <w:t xml:space="preserve">ood borne disease or suspected case of food borne disease, the FBDC shall immediately convene, conduct its investigations as quickly as possible and submit its recommendations to the Minister of Health. </w:t>
      </w:r>
    </w:p>
    <w:p w:rsidR="00AC3AD7" w:rsidRDefault="003329A0">
      <w:pPr>
        <w:pStyle w:val="Heading2"/>
        <w:spacing w:after="107"/>
        <w:ind w:left="235"/>
      </w:pPr>
      <w:bookmarkStart w:id="5" w:name="_Toc9388"/>
      <w:r>
        <w:rPr>
          <w:sz w:val="26"/>
        </w:rPr>
        <w:t>4.2.</w:t>
      </w:r>
      <w:r>
        <w:rPr>
          <w:rFonts w:ascii="Arial" w:eastAsia="Arial" w:hAnsi="Arial" w:cs="Arial"/>
          <w:sz w:val="26"/>
        </w:rPr>
        <w:t xml:space="preserve"> </w:t>
      </w:r>
      <w:r>
        <w:rPr>
          <w:sz w:val="26"/>
        </w:rPr>
        <w:t xml:space="preserve"> ESTABLISHMENT OF CONTROL SYSTEMS </w:t>
      </w:r>
      <w:bookmarkEnd w:id="5"/>
    </w:p>
    <w:p w:rsidR="00AC3AD7" w:rsidRDefault="003329A0">
      <w:pPr>
        <w:spacing w:after="121" w:line="360" w:lineRule="auto"/>
        <w:ind w:left="1901" w:right="306" w:hanging="900"/>
      </w:pPr>
      <w:r>
        <w:t>3.2.1.</w:t>
      </w:r>
      <w:r>
        <w:rPr>
          <w:rFonts w:ascii="Arial" w:eastAsia="Arial" w:hAnsi="Arial" w:cs="Arial"/>
        </w:rPr>
        <w:t xml:space="preserve"> </w:t>
      </w:r>
      <w:r>
        <w:rPr>
          <w:rFonts w:ascii="Arial" w:eastAsia="Arial" w:hAnsi="Arial" w:cs="Arial"/>
        </w:rPr>
        <w:tab/>
      </w:r>
      <w:r>
        <w:t>When</w:t>
      </w:r>
      <w:r>
        <w:t xml:space="preserve"> the number of victims is very large and the food subject to survey is spread over a large area, the nature or scale and the possibility of further spreading shall be assessed promptly. </w:t>
      </w:r>
    </w:p>
    <w:p w:rsidR="00AC3AD7" w:rsidRDefault="003329A0">
      <w:pPr>
        <w:spacing w:after="519" w:line="362" w:lineRule="auto"/>
        <w:ind w:left="1901" w:right="306" w:hanging="900"/>
      </w:pPr>
      <w:r>
        <w:t>3.2.2.</w:t>
      </w:r>
      <w:r>
        <w:rPr>
          <w:rFonts w:ascii="Arial" w:eastAsia="Arial" w:hAnsi="Arial" w:cs="Arial"/>
        </w:rPr>
        <w:t xml:space="preserve"> </w:t>
      </w:r>
      <w:r>
        <w:rPr>
          <w:rFonts w:ascii="Arial" w:eastAsia="Arial" w:hAnsi="Arial" w:cs="Arial"/>
        </w:rPr>
        <w:tab/>
      </w:r>
      <w:r>
        <w:t xml:space="preserve"> </w:t>
      </w:r>
      <w:r>
        <w:t xml:space="preserve">In respect to section 3.2.1 the Authority shall suspend operations of the facility to prevent further spreading of the food borne disease outbreak. </w:t>
      </w:r>
    </w:p>
    <w:p w:rsidR="00AC3AD7" w:rsidRDefault="003329A0">
      <w:pPr>
        <w:pStyle w:val="Heading1"/>
        <w:spacing w:after="471"/>
        <w:ind w:left="-5"/>
      </w:pPr>
      <w:bookmarkStart w:id="6" w:name="_Toc9389"/>
      <w:r>
        <w:t>4.</w:t>
      </w:r>
      <w:r>
        <w:rPr>
          <w:rFonts w:ascii="Arial" w:eastAsia="Arial" w:hAnsi="Arial" w:cs="Arial"/>
        </w:rPr>
        <w:t xml:space="preserve"> </w:t>
      </w:r>
      <w:r>
        <w:t>PROCEDURES</w:t>
      </w:r>
      <w:r>
        <w:rPr>
          <w:sz w:val="24"/>
        </w:rPr>
        <w:t xml:space="preserve"> </w:t>
      </w:r>
      <w:bookmarkEnd w:id="6"/>
    </w:p>
    <w:p w:rsidR="00AC3AD7" w:rsidRDefault="003329A0">
      <w:pPr>
        <w:pStyle w:val="Heading2"/>
        <w:spacing w:after="107"/>
        <w:ind w:left="235"/>
      </w:pPr>
      <w:bookmarkStart w:id="7" w:name="_Toc9390"/>
      <w:r>
        <w:rPr>
          <w:sz w:val="26"/>
        </w:rPr>
        <w:t>4.1.</w:t>
      </w:r>
      <w:r>
        <w:rPr>
          <w:rFonts w:ascii="Arial" w:eastAsia="Arial" w:hAnsi="Arial" w:cs="Arial"/>
          <w:sz w:val="26"/>
        </w:rPr>
        <w:t xml:space="preserve"> </w:t>
      </w:r>
      <w:r>
        <w:rPr>
          <w:sz w:val="26"/>
        </w:rPr>
        <w:t xml:space="preserve">INVESTIGATION METHODS </w:t>
      </w:r>
      <w:bookmarkEnd w:id="7"/>
    </w:p>
    <w:p w:rsidR="00AC3AD7" w:rsidRDefault="003329A0">
      <w:pPr>
        <w:spacing w:line="357" w:lineRule="auto"/>
        <w:ind w:left="1615" w:right="311" w:hanging="910"/>
        <w:jc w:val="both"/>
      </w:pPr>
      <w:r>
        <w:t>4.1.1.</w:t>
      </w:r>
      <w:r>
        <w:rPr>
          <w:rFonts w:ascii="Arial" w:eastAsia="Arial" w:hAnsi="Arial" w:cs="Arial"/>
        </w:rPr>
        <w:t xml:space="preserve"> </w:t>
      </w:r>
      <w:r>
        <w:t>On receipt of a complaint or information on food borne di</w:t>
      </w:r>
      <w:r>
        <w:t xml:space="preserve">sease outbreak, an authorized officer shall interview the complainant using the </w:t>
      </w:r>
      <w:r>
        <w:rPr>
          <w:i/>
        </w:rPr>
        <w:t xml:space="preserve">Food borne disease Outbreak Investigation Form </w:t>
      </w:r>
      <w:r>
        <w:t xml:space="preserve">(FDA/FSMD/FM-FBD/2012/01). </w:t>
      </w:r>
    </w:p>
    <w:p w:rsidR="00AC3AD7" w:rsidRDefault="003329A0">
      <w:pPr>
        <w:spacing w:line="357" w:lineRule="auto"/>
        <w:ind w:left="1615" w:right="311" w:hanging="910"/>
        <w:jc w:val="both"/>
      </w:pPr>
      <w:r>
        <w:t>4.1.2.</w:t>
      </w:r>
      <w:r>
        <w:rPr>
          <w:rFonts w:ascii="Arial" w:eastAsia="Arial" w:hAnsi="Arial" w:cs="Arial"/>
        </w:rPr>
        <w:t xml:space="preserve"> </w:t>
      </w:r>
      <w:r>
        <w:t xml:space="preserve">All necessary information, food samples and clinical specimens shall be collected immediately </w:t>
      </w:r>
      <w:r>
        <w:t xml:space="preserve">after occurrences are reported. This may be done by using the relevant forms from the WHO </w:t>
      </w:r>
      <w:r>
        <w:rPr>
          <w:i/>
        </w:rPr>
        <w:t>Guide for the Investigation of Food borne disease Outbreaks</w:t>
      </w:r>
      <w:r>
        <w:t xml:space="preserve">. </w:t>
      </w:r>
    </w:p>
    <w:p w:rsidR="00AC3AD7" w:rsidRDefault="003329A0">
      <w:pPr>
        <w:spacing w:line="357" w:lineRule="auto"/>
        <w:ind w:left="1605" w:right="306" w:hanging="900"/>
      </w:pPr>
      <w:r>
        <w:t>4.1.3.</w:t>
      </w:r>
      <w:r>
        <w:rPr>
          <w:rFonts w:ascii="Arial" w:eastAsia="Arial" w:hAnsi="Arial" w:cs="Arial"/>
        </w:rPr>
        <w:t xml:space="preserve"> </w:t>
      </w:r>
      <w:r>
        <w:t xml:space="preserve">Authorized Officers shall be adequately resourced, protected and assigned to defined tasks in order to establish a functional survey system. </w:t>
      </w:r>
    </w:p>
    <w:p w:rsidR="00AC3AD7" w:rsidRDefault="003329A0">
      <w:pPr>
        <w:spacing w:line="357" w:lineRule="auto"/>
        <w:ind w:left="1605" w:right="306" w:hanging="900"/>
      </w:pPr>
      <w:r>
        <w:lastRenderedPageBreak/>
        <w:t>4.1.4.</w:t>
      </w:r>
      <w:r>
        <w:rPr>
          <w:rFonts w:ascii="Arial" w:eastAsia="Arial" w:hAnsi="Arial" w:cs="Arial"/>
        </w:rPr>
        <w:t xml:space="preserve"> </w:t>
      </w:r>
      <w:r>
        <w:t>Surveys shall not be limited to persons showing symptoms but extended to those who are not showing symptoms</w:t>
      </w:r>
      <w:r>
        <w:t xml:space="preserve"> but have also consumed the etiologic food. </w:t>
      </w:r>
    </w:p>
    <w:p w:rsidR="00AC3AD7" w:rsidRDefault="003329A0">
      <w:pPr>
        <w:spacing w:after="243" w:line="259" w:lineRule="auto"/>
        <w:ind w:left="0" w:firstLine="0"/>
      </w:pPr>
      <w:r>
        <w:t xml:space="preserve"> </w:t>
      </w:r>
    </w:p>
    <w:p w:rsidR="00AC3AD7" w:rsidRDefault="003329A0">
      <w:pPr>
        <w:pStyle w:val="Heading2"/>
        <w:spacing w:after="107"/>
        <w:ind w:left="235"/>
      </w:pPr>
      <w:bookmarkStart w:id="8" w:name="_Toc9391"/>
      <w:r>
        <w:rPr>
          <w:sz w:val="26"/>
        </w:rPr>
        <w:t>4.2.</w:t>
      </w:r>
      <w:r>
        <w:rPr>
          <w:rFonts w:ascii="Arial" w:eastAsia="Arial" w:hAnsi="Arial" w:cs="Arial"/>
          <w:sz w:val="26"/>
        </w:rPr>
        <w:t xml:space="preserve"> </w:t>
      </w:r>
      <w:r>
        <w:rPr>
          <w:sz w:val="26"/>
        </w:rPr>
        <w:t xml:space="preserve">EXAMINATION OF PERSONS </w:t>
      </w:r>
      <w:bookmarkEnd w:id="8"/>
    </w:p>
    <w:p w:rsidR="00AC3AD7" w:rsidRDefault="003329A0">
      <w:pPr>
        <w:spacing w:line="357" w:lineRule="auto"/>
        <w:ind w:left="1605" w:right="306" w:hanging="900"/>
      </w:pPr>
      <w:r>
        <w:t>4.2.1.</w:t>
      </w:r>
      <w:r>
        <w:rPr>
          <w:rFonts w:ascii="Arial" w:eastAsia="Arial" w:hAnsi="Arial" w:cs="Arial"/>
        </w:rPr>
        <w:t xml:space="preserve"> </w:t>
      </w:r>
      <w:r>
        <w:t>Food history of the victims shall be ascertained (whether they ate common meals and drinks) and recipes (or menu) for the common meals shall be obtained as early as possible</w:t>
      </w:r>
      <w:r>
        <w:t xml:space="preserve">. </w:t>
      </w:r>
    </w:p>
    <w:p w:rsidR="00AC3AD7" w:rsidRDefault="003329A0">
      <w:pPr>
        <w:spacing w:line="357" w:lineRule="auto"/>
        <w:ind w:left="1605" w:right="306" w:hanging="900"/>
      </w:pPr>
      <w:r>
        <w:t>4.2.2.</w:t>
      </w:r>
      <w:r>
        <w:rPr>
          <w:rFonts w:ascii="Arial" w:eastAsia="Arial" w:hAnsi="Arial" w:cs="Arial"/>
        </w:rPr>
        <w:t xml:space="preserve"> </w:t>
      </w:r>
      <w:r>
        <w:t xml:space="preserve">Except for cases where the common meals of victims are identified, information on all the food consumed seventy-two (72) hours or more before the onset of symptoms shall be conducted. </w:t>
      </w:r>
    </w:p>
    <w:p w:rsidR="00AC3AD7" w:rsidRDefault="003329A0">
      <w:pPr>
        <w:spacing w:line="356" w:lineRule="auto"/>
        <w:ind w:left="1605" w:right="306" w:hanging="900"/>
      </w:pPr>
      <w:r>
        <w:t>4.2.3.</w:t>
      </w:r>
      <w:r>
        <w:rPr>
          <w:rFonts w:ascii="Arial" w:eastAsia="Arial" w:hAnsi="Arial" w:cs="Arial"/>
        </w:rPr>
        <w:t xml:space="preserve"> </w:t>
      </w:r>
      <w:r>
        <w:t>Symptoms shown by victims and the dates and time of on</w:t>
      </w:r>
      <w:r>
        <w:t xml:space="preserve">set of symptoms shall be noted. </w:t>
      </w:r>
    </w:p>
    <w:p w:rsidR="00AC3AD7" w:rsidRDefault="003329A0">
      <w:pPr>
        <w:spacing w:line="356" w:lineRule="auto"/>
        <w:ind w:left="1605" w:right="306" w:hanging="900"/>
      </w:pPr>
      <w:r>
        <w:t>4.2.4.</w:t>
      </w:r>
      <w:r>
        <w:rPr>
          <w:rFonts w:ascii="Arial" w:eastAsia="Arial" w:hAnsi="Arial" w:cs="Arial"/>
        </w:rPr>
        <w:t xml:space="preserve"> </w:t>
      </w:r>
      <w:r>
        <w:t xml:space="preserve">Authorized officers shall encourage victims to visit health facilities so that symptoms can be confirmed. </w:t>
      </w:r>
    </w:p>
    <w:p w:rsidR="00AC3AD7" w:rsidRDefault="003329A0">
      <w:pPr>
        <w:spacing w:after="241" w:line="259" w:lineRule="auto"/>
        <w:ind w:left="0" w:firstLine="0"/>
      </w:pPr>
      <w:r>
        <w:t xml:space="preserve"> </w:t>
      </w:r>
    </w:p>
    <w:p w:rsidR="00AC3AD7" w:rsidRDefault="003329A0">
      <w:pPr>
        <w:pStyle w:val="Heading2"/>
        <w:spacing w:after="107"/>
        <w:ind w:left="235"/>
      </w:pPr>
      <w:bookmarkStart w:id="9" w:name="_Toc9392"/>
      <w:r>
        <w:rPr>
          <w:sz w:val="26"/>
        </w:rPr>
        <w:t>4.3.</w:t>
      </w:r>
      <w:r>
        <w:rPr>
          <w:rFonts w:ascii="Arial" w:eastAsia="Arial" w:hAnsi="Arial" w:cs="Arial"/>
          <w:sz w:val="26"/>
        </w:rPr>
        <w:t xml:space="preserve"> </w:t>
      </w:r>
      <w:r>
        <w:rPr>
          <w:sz w:val="26"/>
        </w:rPr>
        <w:t xml:space="preserve">EXAMINATION OF FACILITY </w:t>
      </w:r>
      <w:bookmarkEnd w:id="9"/>
    </w:p>
    <w:p w:rsidR="00AC3AD7" w:rsidRDefault="003329A0">
      <w:pPr>
        <w:spacing w:line="358" w:lineRule="auto"/>
        <w:ind w:left="1605" w:right="306" w:hanging="900"/>
      </w:pPr>
      <w:r>
        <w:t>4.4.1.</w:t>
      </w:r>
      <w:r>
        <w:rPr>
          <w:rFonts w:ascii="Arial" w:eastAsia="Arial" w:hAnsi="Arial" w:cs="Arial"/>
        </w:rPr>
        <w:t xml:space="preserve"> </w:t>
      </w:r>
      <w:r>
        <w:t>The etiologic facility shall be inspected to ascertain its compliance with current trends of Good Manufacturing Practices (cGMP) and Good Hygienic Practices (GHP). Recommendations shall be made to the etiologic facility in order to prevent future occurrenc</w:t>
      </w:r>
      <w:r>
        <w:t xml:space="preserve">es. </w:t>
      </w:r>
    </w:p>
    <w:p w:rsidR="00AC3AD7" w:rsidRDefault="003329A0">
      <w:pPr>
        <w:spacing w:line="358" w:lineRule="auto"/>
        <w:ind w:left="1605" w:right="306" w:hanging="900"/>
      </w:pPr>
      <w:r>
        <w:t>4.4.2.</w:t>
      </w:r>
      <w:r>
        <w:rPr>
          <w:rFonts w:ascii="Arial" w:eastAsia="Arial" w:hAnsi="Arial" w:cs="Arial"/>
        </w:rPr>
        <w:t xml:space="preserve"> </w:t>
      </w:r>
      <w:r>
        <w:t xml:space="preserve">Officers of the Authority shall examine food contact surfaces and collect the necessary samples for laboratory analysis. This may be done by using the </w:t>
      </w:r>
      <w:r>
        <w:rPr>
          <w:i/>
        </w:rPr>
        <w:t xml:space="preserve">Sample Collection Form </w:t>
      </w:r>
      <w:r>
        <w:t xml:space="preserve">(FDA/FM05/FPI05/1-2006). </w:t>
      </w:r>
    </w:p>
    <w:p w:rsidR="00AC3AD7" w:rsidRDefault="003329A0">
      <w:pPr>
        <w:spacing w:after="255" w:line="259" w:lineRule="auto"/>
        <w:ind w:left="0" w:firstLine="0"/>
      </w:pPr>
      <w:r>
        <w:t xml:space="preserve"> </w:t>
      </w:r>
    </w:p>
    <w:p w:rsidR="00AC3AD7" w:rsidRDefault="003329A0">
      <w:pPr>
        <w:pStyle w:val="Heading2"/>
        <w:spacing w:line="360" w:lineRule="auto"/>
        <w:ind w:left="910" w:hanging="670"/>
      </w:pPr>
      <w:bookmarkStart w:id="10" w:name="_Toc9393"/>
      <w:r>
        <w:rPr>
          <w:sz w:val="26"/>
        </w:rPr>
        <w:t>4.4.</w:t>
      </w:r>
      <w:r>
        <w:rPr>
          <w:rFonts w:ascii="Arial" w:eastAsia="Arial" w:hAnsi="Arial" w:cs="Arial"/>
          <w:sz w:val="26"/>
        </w:rPr>
        <w:t xml:space="preserve"> </w:t>
      </w:r>
      <w:r>
        <w:t>PRESUMPTION AND DETERMINATION OF ETIO</w:t>
      </w:r>
      <w:r>
        <w:t xml:space="preserve">LOGIC FOOD AND </w:t>
      </w:r>
      <w:bookmarkEnd w:id="10"/>
    </w:p>
    <w:p w:rsidR="00AC3AD7" w:rsidRDefault="003329A0">
      <w:pPr>
        <w:pStyle w:val="Heading2"/>
        <w:spacing w:line="360" w:lineRule="auto"/>
        <w:ind w:left="910" w:hanging="670"/>
      </w:pPr>
      <w:bookmarkStart w:id="11" w:name="_Toc9394"/>
      <w:r>
        <w:t>FACILITY</w:t>
      </w:r>
      <w:r>
        <w:rPr>
          <w:i/>
        </w:rPr>
        <w:t xml:space="preserve"> </w:t>
      </w:r>
      <w:bookmarkEnd w:id="11"/>
    </w:p>
    <w:p w:rsidR="00AC3AD7" w:rsidRDefault="003329A0">
      <w:pPr>
        <w:spacing w:after="211"/>
        <w:ind w:left="715" w:right="306"/>
      </w:pPr>
      <w:r>
        <w:t xml:space="preserve">The etiologic food and etiologic facility shall be identified based on a comprehensive assessment of the surveys, laboratory examinations and tests. </w:t>
      </w:r>
    </w:p>
    <w:p w:rsidR="00AC3AD7" w:rsidRDefault="003329A0">
      <w:pPr>
        <w:spacing w:line="362" w:lineRule="auto"/>
        <w:ind w:left="1800" w:right="306" w:hanging="900"/>
      </w:pPr>
      <w:r>
        <w:t>4.4.1.</w:t>
      </w:r>
      <w:r>
        <w:rPr>
          <w:rFonts w:ascii="Arial" w:eastAsia="Arial" w:hAnsi="Arial" w:cs="Arial"/>
        </w:rPr>
        <w:t xml:space="preserve"> </w:t>
      </w:r>
      <w:r>
        <w:rPr>
          <w:rFonts w:ascii="Arial" w:eastAsia="Arial" w:hAnsi="Arial" w:cs="Arial"/>
        </w:rPr>
        <w:tab/>
      </w:r>
      <w:r>
        <w:t>The Authority shall assess the occurrence of food borne disease based on</w:t>
      </w:r>
      <w:r>
        <w:t xml:space="preserve"> diagnosis by a doctor, number of victims, the extent of occurrence (time, </w:t>
      </w:r>
    </w:p>
    <w:p w:rsidR="00AC3AD7" w:rsidRDefault="003329A0">
      <w:pPr>
        <w:spacing w:line="356" w:lineRule="auto"/>
        <w:ind w:left="1810" w:right="306"/>
      </w:pPr>
      <w:r>
        <w:lastRenderedPageBreak/>
        <w:t xml:space="preserve">area and group), examination of facilities and results of bacteriological or physicochemical examinations. </w:t>
      </w:r>
    </w:p>
    <w:p w:rsidR="00AC3AD7" w:rsidRDefault="003329A0">
      <w:pPr>
        <w:spacing w:after="257" w:line="259" w:lineRule="auto"/>
        <w:ind w:left="0" w:firstLine="0"/>
      </w:pPr>
      <w:r>
        <w:t xml:space="preserve"> </w:t>
      </w:r>
    </w:p>
    <w:p w:rsidR="00AC3AD7" w:rsidRDefault="003329A0">
      <w:pPr>
        <w:pStyle w:val="Heading2"/>
        <w:spacing w:after="92"/>
        <w:ind w:left="250"/>
      </w:pPr>
      <w:bookmarkStart w:id="12" w:name="_Toc9395"/>
      <w:r>
        <w:rPr>
          <w:sz w:val="26"/>
        </w:rPr>
        <w:t>4.5.</w:t>
      </w:r>
      <w:r>
        <w:rPr>
          <w:rFonts w:ascii="Arial" w:eastAsia="Arial" w:hAnsi="Arial" w:cs="Arial"/>
          <w:sz w:val="26"/>
        </w:rPr>
        <w:t xml:space="preserve"> </w:t>
      </w:r>
      <w:r>
        <w:t>INVESTIGATION OF DISTRIBUTION SYSTEMS</w:t>
      </w:r>
      <w:r>
        <w:rPr>
          <w:i/>
          <w:sz w:val="26"/>
        </w:rPr>
        <w:t xml:space="preserve"> </w:t>
      </w:r>
      <w:bookmarkEnd w:id="12"/>
    </w:p>
    <w:p w:rsidR="00AC3AD7" w:rsidRDefault="003329A0">
      <w:pPr>
        <w:spacing w:after="531"/>
        <w:ind w:left="715" w:right="306"/>
      </w:pPr>
      <w:r>
        <w:t>In cases where the etiolog</w:t>
      </w:r>
      <w:r>
        <w:t xml:space="preserve">ic food has been identified, and has been confirmed to be in trade, investigations of market distribution systems shall be conducted. </w:t>
      </w:r>
    </w:p>
    <w:p w:rsidR="00AC3AD7" w:rsidRDefault="003329A0">
      <w:pPr>
        <w:pStyle w:val="Heading1"/>
        <w:ind w:left="-5"/>
      </w:pPr>
      <w:bookmarkStart w:id="13" w:name="_Toc9396"/>
      <w:r>
        <w:t>5.</w:t>
      </w:r>
      <w:r>
        <w:rPr>
          <w:rFonts w:ascii="Arial" w:eastAsia="Arial" w:hAnsi="Arial" w:cs="Arial"/>
        </w:rPr>
        <w:t xml:space="preserve"> </w:t>
      </w:r>
      <w:r>
        <w:t xml:space="preserve">PREVENTIVE/ CONTROL MEASURES </w:t>
      </w:r>
      <w:bookmarkEnd w:id="13"/>
    </w:p>
    <w:p w:rsidR="00AC3AD7" w:rsidRDefault="003329A0">
      <w:pPr>
        <w:spacing w:line="356" w:lineRule="auto"/>
        <w:ind w:left="370" w:right="306"/>
      </w:pPr>
      <w:r>
        <w:t>The following measures shall be taken to prevent the spread and recurrence of food borne</w:t>
      </w:r>
      <w:r>
        <w:t xml:space="preserve"> disease: </w:t>
      </w:r>
    </w:p>
    <w:p w:rsidR="00AC3AD7" w:rsidRDefault="003329A0">
      <w:pPr>
        <w:numPr>
          <w:ilvl w:val="0"/>
          <w:numId w:val="2"/>
        </w:numPr>
        <w:spacing w:after="110"/>
        <w:ind w:right="306" w:hanging="360"/>
      </w:pPr>
      <w:r>
        <w:t xml:space="preserve">Voluntary suspension or closure of facility </w:t>
      </w:r>
    </w:p>
    <w:p w:rsidR="00AC3AD7" w:rsidRDefault="003329A0">
      <w:pPr>
        <w:numPr>
          <w:ilvl w:val="0"/>
          <w:numId w:val="2"/>
        </w:numPr>
        <w:spacing w:line="357" w:lineRule="auto"/>
        <w:ind w:right="306" w:hanging="360"/>
      </w:pPr>
      <w:proofErr w:type="gramStart"/>
      <w:r>
        <w:t>Ban  on</w:t>
      </w:r>
      <w:proofErr w:type="gramEnd"/>
      <w:r>
        <w:t xml:space="preserve">  the  sale,  use  and  transportation  of  the  etiologic  food  (and  that manufactured in the same lot or similar food), until the etiologic substance is determined. </w:t>
      </w:r>
    </w:p>
    <w:p w:rsidR="00AC3AD7" w:rsidRDefault="003329A0">
      <w:pPr>
        <w:numPr>
          <w:ilvl w:val="0"/>
          <w:numId w:val="2"/>
        </w:numPr>
        <w:spacing w:line="358" w:lineRule="auto"/>
        <w:ind w:right="306" w:hanging="360"/>
      </w:pPr>
      <w:r>
        <w:t>Ban on water used (well water, spring water or water from an elevated water tan</w:t>
      </w:r>
      <w:r>
        <w:t xml:space="preserve">k), when such water is the suspected cause. </w:t>
      </w:r>
    </w:p>
    <w:p w:rsidR="00AC3AD7" w:rsidRDefault="003329A0">
      <w:pPr>
        <w:numPr>
          <w:ilvl w:val="0"/>
          <w:numId w:val="2"/>
        </w:numPr>
        <w:spacing w:line="357" w:lineRule="auto"/>
        <w:ind w:right="306" w:hanging="360"/>
      </w:pPr>
      <w:proofErr w:type="gramStart"/>
      <w:r>
        <w:t>In  cases</w:t>
      </w:r>
      <w:proofErr w:type="gramEnd"/>
      <w:r>
        <w:t xml:space="preserve">  where  a  person  engaged  in  food  preparation  is  a  carrier  of  a communicable disease or causative agent, such as diarrhea or open wounds, such person shall not engage in any work requiring con</w:t>
      </w:r>
      <w:r>
        <w:t xml:space="preserve">tact with food until the cause is identified and treated. </w:t>
      </w:r>
    </w:p>
    <w:p w:rsidR="00AC3AD7" w:rsidRDefault="003329A0">
      <w:pPr>
        <w:numPr>
          <w:ilvl w:val="0"/>
          <w:numId w:val="2"/>
        </w:numPr>
        <w:spacing w:line="357" w:lineRule="auto"/>
        <w:ind w:right="306" w:hanging="360"/>
      </w:pPr>
      <w:r>
        <w:t>In cases where the etiologic food is found to be in trade, the Food and Drugs Authority shall ensure complete recall of the etiologic food at the expense of the manufacturer/ producer/ food service</w:t>
      </w:r>
      <w:r>
        <w:t xml:space="preserve"> provider. </w:t>
      </w:r>
    </w:p>
    <w:p w:rsidR="00AC3AD7" w:rsidRDefault="003329A0">
      <w:pPr>
        <w:numPr>
          <w:ilvl w:val="0"/>
          <w:numId w:val="2"/>
        </w:numPr>
        <w:ind w:right="306" w:hanging="360"/>
      </w:pPr>
      <w:r>
        <w:t xml:space="preserve">The general public shall be informed. </w:t>
      </w:r>
    </w:p>
    <w:p w:rsidR="00AC3AD7" w:rsidRDefault="003329A0">
      <w:pPr>
        <w:spacing w:after="216" w:line="259" w:lineRule="auto"/>
        <w:ind w:left="0" w:firstLine="0"/>
      </w:pPr>
      <w:r>
        <w:t xml:space="preserve"> </w:t>
      </w:r>
    </w:p>
    <w:p w:rsidR="00AC3AD7" w:rsidRDefault="003329A0">
      <w:pPr>
        <w:pStyle w:val="Heading2"/>
        <w:tabs>
          <w:tab w:val="center" w:pos="576"/>
          <w:tab w:val="center" w:pos="3659"/>
        </w:tabs>
        <w:spacing w:after="100"/>
        <w:ind w:left="0" w:firstLine="0"/>
      </w:pPr>
      <w:bookmarkStart w:id="14" w:name="_Toc9397"/>
      <w:r>
        <w:rPr>
          <w:rFonts w:ascii="Calibri" w:eastAsia="Calibri" w:hAnsi="Calibri" w:cs="Calibri"/>
          <w:b w:val="0"/>
          <w:sz w:val="22"/>
        </w:rPr>
        <w:tab/>
      </w:r>
      <w:r>
        <w:rPr>
          <w:sz w:val="26"/>
        </w:rPr>
        <w:t>5.1.</w:t>
      </w:r>
      <w:r>
        <w:rPr>
          <w:rFonts w:ascii="Arial" w:eastAsia="Arial" w:hAnsi="Arial" w:cs="Arial"/>
          <w:sz w:val="26"/>
        </w:rPr>
        <w:t xml:space="preserve"> </w:t>
      </w:r>
      <w:r>
        <w:rPr>
          <w:rFonts w:ascii="Arial" w:eastAsia="Arial" w:hAnsi="Arial" w:cs="Arial"/>
          <w:sz w:val="26"/>
        </w:rPr>
        <w:tab/>
      </w:r>
      <w:r>
        <w:t xml:space="preserve">MEASURES FOR THE ETIOLOGIC FACILITY </w:t>
      </w:r>
      <w:bookmarkEnd w:id="14"/>
    </w:p>
    <w:p w:rsidR="00AC3AD7" w:rsidRDefault="003329A0">
      <w:pPr>
        <w:spacing w:line="360" w:lineRule="auto"/>
        <w:ind w:left="1980" w:right="306" w:hanging="900"/>
      </w:pPr>
      <w:r>
        <w:t>5.1.1.</w:t>
      </w:r>
      <w:r>
        <w:rPr>
          <w:rFonts w:ascii="Arial" w:eastAsia="Arial" w:hAnsi="Arial" w:cs="Arial"/>
        </w:rPr>
        <w:t xml:space="preserve"> </w:t>
      </w:r>
      <w:r>
        <w:rPr>
          <w:rFonts w:ascii="Arial" w:eastAsia="Arial" w:hAnsi="Arial" w:cs="Arial"/>
        </w:rPr>
        <w:tab/>
      </w:r>
      <w:r>
        <w:t>When current codes of Good Manufacturing Practices (cGMP) have not been implemented to an appreciable level, the Authority shall ensure that the facili</w:t>
      </w:r>
      <w:r>
        <w:t xml:space="preserve">ty puts in place measures for improvement. </w:t>
      </w:r>
    </w:p>
    <w:p w:rsidR="00AC3AD7" w:rsidRDefault="003329A0">
      <w:pPr>
        <w:ind w:left="1990" w:right="306"/>
      </w:pPr>
      <w:r>
        <w:t xml:space="preserve">Personnel of the facility shall be educated on sanitation, good food handling practices, personal hygiene and food borne disease. </w:t>
      </w:r>
    </w:p>
    <w:p w:rsidR="00AC3AD7" w:rsidRDefault="003329A0">
      <w:pPr>
        <w:pStyle w:val="Heading1"/>
        <w:ind w:left="-5"/>
      </w:pPr>
      <w:bookmarkStart w:id="15" w:name="_Toc9398"/>
      <w:r>
        <w:t>6.</w:t>
      </w:r>
      <w:r>
        <w:rPr>
          <w:rFonts w:ascii="Arial" w:eastAsia="Arial" w:hAnsi="Arial" w:cs="Arial"/>
        </w:rPr>
        <w:t xml:space="preserve"> </w:t>
      </w:r>
      <w:r>
        <w:t xml:space="preserve">OFFICIAL ANNOUNCEMENT ON THE OUTBREAK </w:t>
      </w:r>
      <w:bookmarkEnd w:id="15"/>
    </w:p>
    <w:p w:rsidR="00AC3AD7" w:rsidRDefault="003329A0">
      <w:pPr>
        <w:spacing w:line="364" w:lineRule="auto"/>
        <w:ind w:left="1080" w:right="306" w:hanging="720"/>
      </w:pPr>
      <w:r>
        <w:t>6.1.</w:t>
      </w:r>
      <w:r>
        <w:rPr>
          <w:rFonts w:ascii="Arial" w:eastAsia="Arial" w:hAnsi="Arial" w:cs="Arial"/>
        </w:rPr>
        <w:t xml:space="preserve"> </w:t>
      </w:r>
      <w:r>
        <w:rPr>
          <w:rFonts w:ascii="Arial" w:eastAsia="Arial" w:hAnsi="Arial" w:cs="Arial"/>
        </w:rPr>
        <w:tab/>
      </w:r>
      <w:r>
        <w:t>Official announcement on the outb</w:t>
      </w:r>
      <w:r>
        <w:t xml:space="preserve">reak shall take into account all the principles of risk communication. </w:t>
      </w:r>
    </w:p>
    <w:p w:rsidR="00AC3AD7" w:rsidRDefault="003329A0">
      <w:pPr>
        <w:spacing w:line="364" w:lineRule="auto"/>
        <w:ind w:left="1080" w:right="306" w:hanging="720"/>
      </w:pPr>
      <w:r>
        <w:lastRenderedPageBreak/>
        <w:t>6.2.</w:t>
      </w:r>
      <w:r>
        <w:rPr>
          <w:rFonts w:ascii="Arial" w:eastAsia="Arial" w:hAnsi="Arial" w:cs="Arial"/>
        </w:rPr>
        <w:t xml:space="preserve"> </w:t>
      </w:r>
      <w:r>
        <w:rPr>
          <w:rFonts w:ascii="Arial" w:eastAsia="Arial" w:hAnsi="Arial" w:cs="Arial"/>
        </w:rPr>
        <w:tab/>
      </w:r>
      <w:r>
        <w:t xml:space="preserve">The outbreak and findings of the investigation shall be officially announced, in collaboration with all stakeholders. </w:t>
      </w:r>
    </w:p>
    <w:p w:rsidR="00AC3AD7" w:rsidRDefault="003329A0">
      <w:pPr>
        <w:spacing w:after="514" w:line="364" w:lineRule="auto"/>
        <w:ind w:left="1080" w:right="306" w:hanging="720"/>
      </w:pPr>
      <w:r>
        <w:t>6.3.</w:t>
      </w:r>
      <w:r>
        <w:rPr>
          <w:rFonts w:ascii="Arial" w:eastAsia="Arial" w:hAnsi="Arial" w:cs="Arial"/>
        </w:rPr>
        <w:t xml:space="preserve"> </w:t>
      </w:r>
      <w:r>
        <w:rPr>
          <w:rFonts w:ascii="Arial" w:eastAsia="Arial" w:hAnsi="Arial" w:cs="Arial"/>
        </w:rPr>
        <w:tab/>
      </w:r>
      <w:r>
        <w:t xml:space="preserve">When such announcements are to be made for consecutive days, they shall be made at the same time on such days. </w:t>
      </w:r>
    </w:p>
    <w:p w:rsidR="00AC3AD7" w:rsidRDefault="003329A0">
      <w:pPr>
        <w:pStyle w:val="Heading1"/>
        <w:ind w:left="-5"/>
      </w:pPr>
      <w:bookmarkStart w:id="16" w:name="_Toc9399"/>
      <w:r>
        <w:t>7.</w:t>
      </w:r>
      <w:r>
        <w:rPr>
          <w:rFonts w:ascii="Arial" w:eastAsia="Arial" w:hAnsi="Arial" w:cs="Arial"/>
        </w:rPr>
        <w:t xml:space="preserve"> </w:t>
      </w:r>
      <w:r>
        <w:t xml:space="preserve"> SUBMISSION OF REPORTS </w:t>
      </w:r>
      <w:bookmarkEnd w:id="16"/>
    </w:p>
    <w:p w:rsidR="00AC3AD7" w:rsidRDefault="003329A0">
      <w:pPr>
        <w:spacing w:after="0" w:line="259" w:lineRule="auto"/>
        <w:ind w:left="360" w:firstLine="0"/>
      </w:pPr>
      <w:r>
        <w:t xml:space="preserve"> </w:t>
      </w:r>
    </w:p>
    <w:p w:rsidR="00AC3AD7" w:rsidRDefault="003329A0">
      <w:pPr>
        <w:ind w:right="306"/>
      </w:pPr>
      <w:r>
        <w:t>The FBDC within a period of fifteen (15) working days shall submit a comprehensive report on the outbreak to facili</w:t>
      </w:r>
      <w:r>
        <w:t xml:space="preserve">tate further regulatory decisions from the MOH. </w:t>
      </w:r>
    </w:p>
    <w:p w:rsidR="00AC3AD7" w:rsidRDefault="00AC3AD7">
      <w:pPr>
        <w:sectPr w:rsidR="00AC3AD7">
          <w:headerReference w:type="even" r:id="rId8"/>
          <w:headerReference w:type="default" r:id="rId9"/>
          <w:footerReference w:type="even" r:id="rId10"/>
          <w:footerReference w:type="default" r:id="rId11"/>
          <w:headerReference w:type="first" r:id="rId12"/>
          <w:footerReference w:type="first" r:id="rId13"/>
          <w:pgSz w:w="11906" w:h="16838"/>
          <w:pgMar w:top="518" w:right="1114" w:bottom="1899" w:left="1440" w:header="720" w:footer="720" w:gutter="0"/>
          <w:cols w:space="720"/>
          <w:titlePg/>
        </w:sectPr>
      </w:pPr>
    </w:p>
    <w:p w:rsidR="00AC3AD7" w:rsidRDefault="003329A0">
      <w:pPr>
        <w:spacing w:after="236" w:line="259" w:lineRule="auto"/>
        <w:ind w:left="0" w:firstLine="0"/>
        <w:jc w:val="right"/>
      </w:pPr>
      <w:r>
        <w:rPr>
          <w:b/>
        </w:rPr>
        <w:lastRenderedPageBreak/>
        <w:t>FDA/FSMD/GL-FBD/2012/01</w:t>
      </w:r>
      <w:r>
        <w:rPr>
          <w:rFonts w:ascii="Calibri" w:eastAsia="Calibri" w:hAnsi="Calibri" w:cs="Calibri"/>
          <w:sz w:val="22"/>
        </w:rPr>
        <w:t xml:space="preserve"> </w:t>
      </w:r>
    </w:p>
    <w:p w:rsidR="00AC3AD7" w:rsidRDefault="003329A0">
      <w:pPr>
        <w:tabs>
          <w:tab w:val="center" w:pos="7144"/>
        </w:tabs>
        <w:spacing w:after="108" w:line="259" w:lineRule="auto"/>
        <w:ind w:left="0" w:firstLine="0"/>
      </w:pPr>
      <w:r>
        <w:rPr>
          <w:rFonts w:ascii="Calibri" w:eastAsia="Calibri" w:hAnsi="Calibri" w:cs="Calibri"/>
          <w:sz w:val="11"/>
        </w:rPr>
        <w:t xml:space="preserve"> </w:t>
      </w:r>
      <w:r>
        <w:rPr>
          <w:rFonts w:ascii="Calibri" w:eastAsia="Calibri" w:hAnsi="Calibri" w:cs="Calibri"/>
          <w:sz w:val="11"/>
        </w:rPr>
        <w:tab/>
      </w:r>
      <w:r>
        <w:rPr>
          <w:rFonts w:ascii="Book Antiqua" w:eastAsia="Book Antiqua" w:hAnsi="Book Antiqua" w:cs="Book Antiqua"/>
          <w:b/>
        </w:rPr>
        <w:t>FLOWCHART OF HANDLING PROCEDURES FOR FOOD POISONING CASES</w:t>
      </w:r>
      <w:r>
        <w:rPr>
          <w:rFonts w:ascii="Book Antiqua" w:eastAsia="Book Antiqua" w:hAnsi="Book Antiqua" w:cs="Book Antiqua"/>
        </w:rPr>
        <w:t xml:space="preserve"> </w:t>
      </w:r>
    </w:p>
    <w:p w:rsidR="00AC3AD7" w:rsidRDefault="003329A0">
      <w:pPr>
        <w:spacing w:after="0" w:line="259" w:lineRule="auto"/>
        <w:ind w:left="0" w:firstLine="0"/>
      </w:pPr>
      <w:r>
        <w:rPr>
          <w:rFonts w:ascii="Calibri" w:eastAsia="Calibri" w:hAnsi="Calibri" w:cs="Calibri"/>
          <w:sz w:val="20"/>
        </w:rPr>
        <w:t xml:space="preserve"> </w:t>
      </w:r>
    </w:p>
    <w:p w:rsidR="00AC3AD7" w:rsidRDefault="003329A0">
      <w:pPr>
        <w:spacing w:after="0" w:line="259" w:lineRule="auto"/>
        <w:ind w:left="0" w:firstLine="0"/>
      </w:pPr>
      <w:r>
        <w:rPr>
          <w:rFonts w:ascii="Calibri" w:eastAsia="Calibri" w:hAnsi="Calibri" w:cs="Calibri"/>
          <w:sz w:val="20"/>
        </w:rPr>
        <w:t xml:space="preserve"> </w:t>
      </w:r>
    </w:p>
    <w:p w:rsidR="00AC3AD7" w:rsidRDefault="003329A0">
      <w:pPr>
        <w:spacing w:after="8" w:line="259" w:lineRule="auto"/>
        <w:ind w:left="0" w:firstLine="0"/>
      </w:pPr>
      <w:r>
        <w:rPr>
          <w:rFonts w:ascii="Calibri" w:eastAsia="Calibri" w:hAnsi="Calibri" w:cs="Calibri"/>
          <w:sz w:val="20"/>
        </w:rPr>
        <w:t xml:space="preserve"> </w:t>
      </w:r>
    </w:p>
    <w:p w:rsidR="00AC3AD7" w:rsidRDefault="003329A0">
      <w:pPr>
        <w:pBdr>
          <w:top w:val="single" w:sz="6" w:space="0" w:color="000000"/>
          <w:left w:val="single" w:sz="6" w:space="0" w:color="000000"/>
          <w:bottom w:val="single" w:sz="6" w:space="0" w:color="000000"/>
          <w:right w:val="single" w:sz="6" w:space="0" w:color="000000"/>
        </w:pBdr>
        <w:spacing w:after="0" w:line="259" w:lineRule="auto"/>
        <w:ind w:left="0" w:right="1085" w:firstLine="0"/>
        <w:jc w:val="center"/>
      </w:pPr>
      <w:r>
        <w:rPr>
          <w:sz w:val="20"/>
        </w:rPr>
        <w:t xml:space="preserve">Detection of a (suspected) case </w:t>
      </w:r>
    </w:p>
    <w:p w:rsidR="00AC3AD7" w:rsidRDefault="003329A0">
      <w:pPr>
        <w:spacing w:after="37" w:line="259" w:lineRule="auto"/>
        <w:ind w:left="0" w:firstLine="0"/>
      </w:pPr>
      <w:r>
        <w:rPr>
          <w:rFonts w:ascii="Calibri" w:eastAsia="Calibri" w:hAnsi="Calibri" w:cs="Calibri"/>
          <w:sz w:val="11"/>
        </w:rPr>
        <w:t xml:space="preserve"> </w:t>
      </w:r>
    </w:p>
    <w:p w:rsidR="00AC3AD7" w:rsidRDefault="003329A0">
      <w:pPr>
        <w:spacing w:after="0" w:line="259" w:lineRule="auto"/>
        <w:ind w:left="0" w:firstLine="0"/>
      </w:pPr>
      <w:r>
        <w:rPr>
          <w:rFonts w:ascii="Calibri" w:eastAsia="Calibri" w:hAnsi="Calibri" w:cs="Calibri"/>
          <w:sz w:val="20"/>
        </w:rPr>
        <w:t xml:space="preserve"> </w:t>
      </w:r>
    </w:p>
    <w:p w:rsidR="00AC3AD7" w:rsidRDefault="003329A0">
      <w:pPr>
        <w:spacing w:after="786" w:line="259" w:lineRule="auto"/>
        <w:ind w:left="-63" w:right="-206" w:firstLine="0"/>
      </w:pPr>
      <w:r>
        <w:rPr>
          <w:noProof/>
        </w:rPr>
        <w:lastRenderedPageBreak/>
        <w:drawing>
          <wp:inline distT="0" distB="0" distL="0" distR="0">
            <wp:extent cx="9278112" cy="5967984"/>
            <wp:effectExtent l="0" t="0" r="0" b="0"/>
            <wp:docPr id="9166" name="Picture 9166"/>
            <wp:cNvGraphicFramePr/>
            <a:graphic xmlns:a="http://schemas.openxmlformats.org/drawingml/2006/main">
              <a:graphicData uri="http://schemas.openxmlformats.org/drawingml/2006/picture">
                <pic:pic xmlns:pic="http://schemas.openxmlformats.org/drawingml/2006/picture">
                  <pic:nvPicPr>
                    <pic:cNvPr id="9166" name="Picture 9166"/>
                    <pic:cNvPicPr/>
                  </pic:nvPicPr>
                  <pic:blipFill>
                    <a:blip r:embed="rId14"/>
                    <a:stretch>
                      <a:fillRect/>
                    </a:stretch>
                  </pic:blipFill>
                  <pic:spPr>
                    <a:xfrm>
                      <a:off x="0" y="0"/>
                      <a:ext cx="9278112" cy="5967984"/>
                    </a:xfrm>
                    <a:prstGeom prst="rect">
                      <a:avLst/>
                    </a:prstGeom>
                  </pic:spPr>
                </pic:pic>
              </a:graphicData>
            </a:graphic>
          </wp:inline>
        </w:drawing>
      </w:r>
    </w:p>
    <w:p w:rsidR="00AC3AD7" w:rsidRDefault="003329A0">
      <w:pPr>
        <w:spacing w:after="0" w:line="259" w:lineRule="auto"/>
        <w:ind w:left="0" w:firstLine="0"/>
      </w:pPr>
      <w:r>
        <w:rPr>
          <w:rFonts w:ascii="Calibri" w:eastAsia="Calibri" w:hAnsi="Calibri" w:cs="Calibri"/>
          <w:sz w:val="2"/>
        </w:rPr>
        <w:lastRenderedPageBreak/>
        <w:t xml:space="preserve"> </w:t>
      </w:r>
    </w:p>
    <w:sectPr w:rsidR="00AC3AD7">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737" w:bottom="794" w:left="7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29A0" w:rsidRDefault="003329A0">
      <w:pPr>
        <w:spacing w:after="0" w:line="240" w:lineRule="auto"/>
      </w:pPr>
      <w:r>
        <w:separator/>
      </w:r>
    </w:p>
  </w:endnote>
  <w:endnote w:type="continuationSeparator" w:id="0">
    <w:p w:rsidR="003329A0" w:rsidRDefault="0033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3AD7" w:rsidRDefault="003329A0">
    <w:pPr>
      <w:spacing w:after="0" w:line="259" w:lineRule="auto"/>
      <w:ind w:left="0" w:right="22"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9661525</wp:posOffset>
              </wp:positionV>
              <wp:extent cx="5924550" cy="57150"/>
              <wp:effectExtent l="0" t="0" r="0" b="0"/>
              <wp:wrapSquare wrapText="bothSides"/>
              <wp:docPr id="9215" name="Group 9215"/>
              <wp:cNvGraphicFramePr/>
              <a:graphic xmlns:a="http://schemas.openxmlformats.org/drawingml/2006/main">
                <a:graphicData uri="http://schemas.microsoft.com/office/word/2010/wordprocessingGroup">
                  <wpg:wgp>
                    <wpg:cNvGrpSpPr/>
                    <wpg:grpSpPr>
                      <a:xfrm>
                        <a:off x="0" y="0"/>
                        <a:ext cx="5924550" cy="57150"/>
                        <a:chOff x="0" y="0"/>
                        <a:chExt cx="5924550" cy="57150"/>
                      </a:xfrm>
                    </wpg:grpSpPr>
                    <wps:wsp>
                      <wps:cNvPr id="9716" name="Shape 9716"/>
                      <wps:cNvSpPr/>
                      <wps:spPr>
                        <a:xfrm>
                          <a:off x="0" y="45720"/>
                          <a:ext cx="5924550" cy="11430"/>
                        </a:xfrm>
                        <a:custGeom>
                          <a:avLst/>
                          <a:gdLst/>
                          <a:ahLst/>
                          <a:cxnLst/>
                          <a:rect l="0" t="0" r="0" b="0"/>
                          <a:pathLst>
                            <a:path w="5924550" h="11430">
                              <a:moveTo>
                                <a:pt x="0" y="0"/>
                              </a:moveTo>
                              <a:lnTo>
                                <a:pt x="5924550" y="0"/>
                              </a:lnTo>
                              <a:lnTo>
                                <a:pt x="5924550" y="11430"/>
                              </a:lnTo>
                              <a:lnTo>
                                <a:pt x="0" y="11430"/>
                              </a:lnTo>
                              <a:lnTo>
                                <a:pt x="0" y="0"/>
                              </a:lnTo>
                            </a:path>
                          </a:pathLst>
                        </a:custGeom>
                        <a:ln w="0" cap="flat">
                          <a:miter lim="127000"/>
                        </a:ln>
                      </wps:spPr>
                      <wps:style>
                        <a:lnRef idx="0">
                          <a:srgbClr val="000000">
                            <a:alpha val="0"/>
                          </a:srgbClr>
                        </a:lnRef>
                        <a:fillRef idx="1">
                          <a:srgbClr val="993300"/>
                        </a:fillRef>
                        <a:effectRef idx="0">
                          <a:scrgbClr r="0" g="0" b="0"/>
                        </a:effectRef>
                        <a:fontRef idx="none"/>
                      </wps:style>
                      <wps:bodyPr/>
                    </wps:wsp>
                    <wps:wsp>
                      <wps:cNvPr id="9717" name="Shape 9717"/>
                      <wps:cNvSpPr/>
                      <wps:spPr>
                        <a:xfrm>
                          <a:off x="0" y="0"/>
                          <a:ext cx="5924550" cy="34289"/>
                        </a:xfrm>
                        <a:custGeom>
                          <a:avLst/>
                          <a:gdLst/>
                          <a:ahLst/>
                          <a:cxnLst/>
                          <a:rect l="0" t="0" r="0" b="0"/>
                          <a:pathLst>
                            <a:path w="5924550" h="34289">
                              <a:moveTo>
                                <a:pt x="0" y="0"/>
                              </a:moveTo>
                              <a:lnTo>
                                <a:pt x="5924550" y="0"/>
                              </a:lnTo>
                              <a:lnTo>
                                <a:pt x="5924550" y="34289"/>
                              </a:lnTo>
                              <a:lnTo>
                                <a:pt x="0" y="34289"/>
                              </a:lnTo>
                              <a:lnTo>
                                <a:pt x="0" y="0"/>
                              </a:lnTo>
                            </a:path>
                          </a:pathLst>
                        </a:custGeom>
                        <a:ln w="0" cap="flat">
                          <a:miter lim="127000"/>
                        </a:ln>
                      </wps:spPr>
                      <wps:style>
                        <a:lnRef idx="0">
                          <a:srgbClr val="000000">
                            <a:alpha val="0"/>
                          </a:srgbClr>
                        </a:lnRef>
                        <a:fillRef idx="1">
                          <a:srgbClr val="993300"/>
                        </a:fillRef>
                        <a:effectRef idx="0">
                          <a:scrgbClr r="0" g="0" b="0"/>
                        </a:effectRef>
                        <a:fontRef idx="none"/>
                      </wps:style>
                      <wps:bodyPr/>
                    </wps:wsp>
                  </wpg:wgp>
                </a:graphicData>
              </a:graphic>
            </wp:anchor>
          </w:drawing>
        </mc:Choice>
        <mc:Fallback xmlns:a="http://schemas.openxmlformats.org/drawingml/2006/main">
          <w:pict>
            <v:group id="Group 9215" style="width:466.5pt;height:4.5pt;position:absolute;mso-position-horizontal-relative:page;mso-position-horizontal:absolute;margin-left:72pt;mso-position-vertical-relative:page;margin-top:760.75pt;" coordsize="59245,571">
              <v:shape id="Shape 9718" style="position:absolute;width:59245;height:114;left:0;top:457;" coordsize="5924550,11430" path="m0,0l5924550,0l5924550,11430l0,11430l0,0">
                <v:stroke weight="0pt" endcap="flat" joinstyle="miter" miterlimit="10" on="false" color="#000000" opacity="0"/>
                <v:fill on="true" color="#993300"/>
              </v:shape>
              <v:shape id="Shape 9719" style="position:absolute;width:59245;height:342;left:0;top:0;" coordsize="5924550,34289" path="m0,0l5924550,0l5924550,34289l0,34289l0,0">
                <v:stroke weight="0pt" endcap="flat" joinstyle="miter" miterlimit="10" on="false" color="#000000" opacity="0"/>
                <v:fill on="true" color="#993300"/>
              </v:shape>
              <w10:wrap type="square"/>
            </v:group>
          </w:pict>
        </mc:Fallback>
      </mc:AlternateContent>
    </w:r>
    <w:r>
      <w:t xml:space="preserve"> </w:t>
    </w:r>
  </w:p>
  <w:p w:rsidR="00AC3AD7" w:rsidRDefault="003329A0">
    <w:pPr>
      <w:spacing w:after="31" w:line="259" w:lineRule="auto"/>
      <w:ind w:left="0" w:right="82"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sz w:val="22"/>
      </w:rPr>
      <w:t>9</w:t>
    </w:r>
    <w:r>
      <w:rPr>
        <w:rFonts w:ascii="Calibri" w:eastAsia="Calibri" w:hAnsi="Calibri" w:cs="Calibri"/>
        <w:sz w:val="22"/>
      </w:rPr>
      <w:fldChar w:fldCharType="end"/>
    </w:r>
    <w:r>
      <w:rPr>
        <w:rFonts w:ascii="Calibri" w:eastAsia="Calibri" w:hAnsi="Calibri" w:cs="Calibri"/>
        <w:sz w:val="22"/>
      </w:rPr>
      <w:t xml:space="preserve"> </w:t>
    </w:r>
  </w:p>
  <w:p w:rsidR="00AC3AD7" w:rsidRDefault="003329A0">
    <w:pPr>
      <w:spacing w:after="0" w:line="259" w:lineRule="auto"/>
      <w:ind w:left="0" w:right="624" w:firstLine="0"/>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3AD7" w:rsidRDefault="003329A0">
    <w:pPr>
      <w:spacing w:after="0" w:line="259" w:lineRule="auto"/>
      <w:ind w:left="0" w:right="22"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914400</wp:posOffset>
              </wp:positionH>
              <wp:positionV relativeFrom="page">
                <wp:posOffset>9661525</wp:posOffset>
              </wp:positionV>
              <wp:extent cx="5924550" cy="57150"/>
              <wp:effectExtent l="0" t="0" r="0" b="0"/>
              <wp:wrapSquare wrapText="bothSides"/>
              <wp:docPr id="9186" name="Group 9186"/>
              <wp:cNvGraphicFramePr/>
              <a:graphic xmlns:a="http://schemas.openxmlformats.org/drawingml/2006/main">
                <a:graphicData uri="http://schemas.microsoft.com/office/word/2010/wordprocessingGroup">
                  <wpg:wgp>
                    <wpg:cNvGrpSpPr/>
                    <wpg:grpSpPr>
                      <a:xfrm>
                        <a:off x="0" y="0"/>
                        <a:ext cx="5924550" cy="57150"/>
                        <a:chOff x="0" y="0"/>
                        <a:chExt cx="5924550" cy="57150"/>
                      </a:xfrm>
                    </wpg:grpSpPr>
                    <wps:wsp>
                      <wps:cNvPr id="9712" name="Shape 9712"/>
                      <wps:cNvSpPr/>
                      <wps:spPr>
                        <a:xfrm>
                          <a:off x="0" y="45720"/>
                          <a:ext cx="5924550" cy="11430"/>
                        </a:xfrm>
                        <a:custGeom>
                          <a:avLst/>
                          <a:gdLst/>
                          <a:ahLst/>
                          <a:cxnLst/>
                          <a:rect l="0" t="0" r="0" b="0"/>
                          <a:pathLst>
                            <a:path w="5924550" h="11430">
                              <a:moveTo>
                                <a:pt x="0" y="0"/>
                              </a:moveTo>
                              <a:lnTo>
                                <a:pt x="5924550" y="0"/>
                              </a:lnTo>
                              <a:lnTo>
                                <a:pt x="5924550" y="11430"/>
                              </a:lnTo>
                              <a:lnTo>
                                <a:pt x="0" y="11430"/>
                              </a:lnTo>
                              <a:lnTo>
                                <a:pt x="0" y="0"/>
                              </a:lnTo>
                            </a:path>
                          </a:pathLst>
                        </a:custGeom>
                        <a:ln w="0" cap="flat">
                          <a:miter lim="127000"/>
                        </a:ln>
                      </wps:spPr>
                      <wps:style>
                        <a:lnRef idx="0">
                          <a:srgbClr val="000000">
                            <a:alpha val="0"/>
                          </a:srgbClr>
                        </a:lnRef>
                        <a:fillRef idx="1">
                          <a:srgbClr val="993300"/>
                        </a:fillRef>
                        <a:effectRef idx="0">
                          <a:scrgbClr r="0" g="0" b="0"/>
                        </a:effectRef>
                        <a:fontRef idx="none"/>
                      </wps:style>
                      <wps:bodyPr/>
                    </wps:wsp>
                    <wps:wsp>
                      <wps:cNvPr id="9713" name="Shape 9713"/>
                      <wps:cNvSpPr/>
                      <wps:spPr>
                        <a:xfrm>
                          <a:off x="0" y="0"/>
                          <a:ext cx="5924550" cy="34289"/>
                        </a:xfrm>
                        <a:custGeom>
                          <a:avLst/>
                          <a:gdLst/>
                          <a:ahLst/>
                          <a:cxnLst/>
                          <a:rect l="0" t="0" r="0" b="0"/>
                          <a:pathLst>
                            <a:path w="5924550" h="34289">
                              <a:moveTo>
                                <a:pt x="0" y="0"/>
                              </a:moveTo>
                              <a:lnTo>
                                <a:pt x="5924550" y="0"/>
                              </a:lnTo>
                              <a:lnTo>
                                <a:pt x="5924550" y="34289"/>
                              </a:lnTo>
                              <a:lnTo>
                                <a:pt x="0" y="34289"/>
                              </a:lnTo>
                              <a:lnTo>
                                <a:pt x="0" y="0"/>
                              </a:lnTo>
                            </a:path>
                          </a:pathLst>
                        </a:custGeom>
                        <a:ln w="0" cap="flat">
                          <a:miter lim="127000"/>
                        </a:ln>
                      </wps:spPr>
                      <wps:style>
                        <a:lnRef idx="0">
                          <a:srgbClr val="000000">
                            <a:alpha val="0"/>
                          </a:srgbClr>
                        </a:lnRef>
                        <a:fillRef idx="1">
                          <a:srgbClr val="993300"/>
                        </a:fillRef>
                        <a:effectRef idx="0">
                          <a:scrgbClr r="0" g="0" b="0"/>
                        </a:effectRef>
                        <a:fontRef idx="none"/>
                      </wps:style>
                      <wps:bodyPr/>
                    </wps:wsp>
                  </wpg:wgp>
                </a:graphicData>
              </a:graphic>
            </wp:anchor>
          </w:drawing>
        </mc:Choice>
        <mc:Fallback xmlns:a="http://schemas.openxmlformats.org/drawingml/2006/main">
          <w:pict>
            <v:group id="Group 9186" style="width:466.5pt;height:4.5pt;position:absolute;mso-position-horizontal-relative:page;mso-position-horizontal:absolute;margin-left:72pt;mso-position-vertical-relative:page;margin-top:760.75pt;" coordsize="59245,571">
              <v:shape id="Shape 9714" style="position:absolute;width:59245;height:114;left:0;top:457;" coordsize="5924550,11430" path="m0,0l5924550,0l5924550,11430l0,11430l0,0">
                <v:stroke weight="0pt" endcap="flat" joinstyle="miter" miterlimit="10" on="false" color="#000000" opacity="0"/>
                <v:fill on="true" color="#993300"/>
              </v:shape>
              <v:shape id="Shape 9715" style="position:absolute;width:59245;height:342;left:0;top:0;" coordsize="5924550,34289" path="m0,0l5924550,0l5924550,34289l0,34289l0,0">
                <v:stroke weight="0pt" endcap="flat" joinstyle="miter" miterlimit="10" on="false" color="#000000" opacity="0"/>
                <v:fill on="true" color="#993300"/>
              </v:shape>
              <w10:wrap type="square"/>
            </v:group>
          </w:pict>
        </mc:Fallback>
      </mc:AlternateContent>
    </w:r>
    <w:r>
      <w:t xml:space="preserve"> </w:t>
    </w:r>
  </w:p>
  <w:p w:rsidR="00AC3AD7" w:rsidRDefault="003329A0">
    <w:pPr>
      <w:spacing w:after="31" w:line="259" w:lineRule="auto"/>
      <w:ind w:left="0" w:right="82"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sz w:val="22"/>
      </w:rPr>
      <w:t>9</w:t>
    </w:r>
    <w:r>
      <w:rPr>
        <w:rFonts w:ascii="Calibri" w:eastAsia="Calibri" w:hAnsi="Calibri" w:cs="Calibri"/>
        <w:sz w:val="22"/>
      </w:rPr>
      <w:fldChar w:fldCharType="end"/>
    </w:r>
    <w:r>
      <w:rPr>
        <w:rFonts w:ascii="Calibri" w:eastAsia="Calibri" w:hAnsi="Calibri" w:cs="Calibri"/>
        <w:sz w:val="22"/>
      </w:rPr>
      <w:t xml:space="preserve"> </w:t>
    </w:r>
  </w:p>
  <w:p w:rsidR="00AC3AD7" w:rsidRDefault="003329A0">
    <w:pPr>
      <w:spacing w:after="0" w:line="259" w:lineRule="auto"/>
      <w:ind w:left="0" w:right="624" w:firstLine="0"/>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3AD7" w:rsidRDefault="00AC3AD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3AD7" w:rsidRDefault="00AC3AD7">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3AD7" w:rsidRDefault="00AC3AD7">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3AD7" w:rsidRDefault="00AC3AD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29A0" w:rsidRDefault="003329A0">
      <w:pPr>
        <w:spacing w:after="0" w:line="240" w:lineRule="auto"/>
      </w:pPr>
      <w:r>
        <w:separator/>
      </w:r>
    </w:p>
  </w:footnote>
  <w:footnote w:type="continuationSeparator" w:id="0">
    <w:p w:rsidR="003329A0" w:rsidRDefault="00332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3AD7" w:rsidRDefault="003329A0">
    <w:pPr>
      <w:spacing w:after="0" w:line="259" w:lineRule="auto"/>
      <w:ind w:left="0" w:right="324" w:firstLine="0"/>
      <w:jc w:val="right"/>
    </w:pPr>
    <w:r>
      <w:rPr>
        <w:b/>
      </w:rPr>
      <w:t>FDA/FSMD/GL-FBD/2012/01</w:t>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3AD7" w:rsidRDefault="003329A0">
    <w:pPr>
      <w:spacing w:after="0" w:line="259" w:lineRule="auto"/>
      <w:ind w:left="0" w:right="324" w:firstLine="0"/>
      <w:jc w:val="right"/>
    </w:pPr>
    <w:r>
      <w:rPr>
        <w:b/>
      </w:rPr>
      <w:t>FDA/FSMD/GL-FBD/2012/01</w:t>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3AD7" w:rsidRDefault="00AC3AD7">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3AD7" w:rsidRDefault="00AC3AD7">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3AD7" w:rsidRDefault="00AC3AD7">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3AD7" w:rsidRDefault="00AC3AD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ED1FC0"/>
    <w:multiLevelType w:val="hybridMultilevel"/>
    <w:tmpl w:val="5E463A98"/>
    <w:lvl w:ilvl="0" w:tplc="4FD40F9C">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07E1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5874F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BE168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92CCF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98A30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9AD51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0A2C0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DC0A5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3D35060"/>
    <w:multiLevelType w:val="hybridMultilevel"/>
    <w:tmpl w:val="5B94BA88"/>
    <w:lvl w:ilvl="0" w:tplc="8DC40246">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BE7A2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B2DF0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8006F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28A2E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0999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D8D5F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DA5BB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1E7B0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AD7"/>
    <w:rsid w:val="003329A0"/>
    <w:rsid w:val="008A7484"/>
    <w:rsid w:val="00AC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F4F9"/>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87" w:line="265" w:lineRule="auto"/>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3"/>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TOC1">
    <w:name w:val="toc 1"/>
    <w:hidden/>
    <w:pPr>
      <w:spacing w:after="209" w:line="267" w:lineRule="auto"/>
      <w:ind w:left="25" w:right="15" w:hanging="10"/>
    </w:pPr>
    <w:rPr>
      <w:rFonts w:ascii="Times New Roman" w:eastAsia="Times New Roman" w:hAnsi="Times New Roman" w:cs="Times New Roman"/>
      <w:color w:val="000000"/>
      <w:sz w:val="24"/>
    </w:rPr>
  </w:style>
  <w:style w:type="paragraph" w:styleId="TOC2">
    <w:name w:val="toc 2"/>
    <w:hidden/>
    <w:pPr>
      <w:spacing w:after="201" w:line="267" w:lineRule="auto"/>
      <w:ind w:left="246" w:right="15"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1378</Words>
  <Characters>7855</Characters>
  <Application>Microsoft Office Word</Application>
  <DocSecurity>0</DocSecurity>
  <Lines>65</Lines>
  <Paragraphs>18</Paragraphs>
  <ScaleCrop>false</ScaleCrop>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Kwame</dc:creator>
  <cp:keywords/>
  <cp:lastModifiedBy>samuel fahren otoo</cp:lastModifiedBy>
  <cp:revision>2</cp:revision>
  <dcterms:created xsi:type="dcterms:W3CDTF">2020-04-05T20:38:00Z</dcterms:created>
  <dcterms:modified xsi:type="dcterms:W3CDTF">2020-04-05T20:38:00Z</dcterms:modified>
</cp:coreProperties>
</file>